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5BE" w:rsidRDefault="00A06E1C">
      <w:pPr>
        <w:pStyle w:val="Heading3"/>
        <w:keepNext/>
        <w:keepLines/>
        <w:jc w:val="center"/>
        <w:rPr>
          <w:rFonts w:ascii="Montserrat" w:eastAsia="Montserrat" w:hAnsi="Montserrat" w:cs="Montserrat"/>
          <w:b/>
          <w:color w:val="003D99"/>
          <w:sz w:val="28"/>
          <w:szCs w:val="28"/>
        </w:rPr>
      </w:pPr>
      <w:bookmarkStart w:id="0" w:name="_f869fgz4dxuc" w:colFirst="0" w:colLast="0"/>
      <w:bookmarkEnd w:id="0"/>
      <w:r>
        <w:rPr>
          <w:rFonts w:ascii="Montserrat" w:eastAsia="Montserrat" w:hAnsi="Montserrat" w:cs="Montserrat"/>
          <w:b/>
          <w:color w:val="003D99"/>
          <w:sz w:val="28"/>
          <w:szCs w:val="28"/>
        </w:rPr>
        <w:t xml:space="preserve">Agreement on data processing </w:t>
      </w:r>
    </w:p>
    <w:p w:rsidR="00C245BE" w:rsidRDefault="00A06E1C">
      <w:pPr>
        <w:pStyle w:val="Heading3"/>
        <w:keepNext/>
        <w:keepLines/>
        <w:jc w:val="center"/>
        <w:rPr>
          <w:rFonts w:ascii="Montserrat" w:eastAsia="Montserrat" w:hAnsi="Montserrat" w:cs="Montserrat"/>
          <w:b/>
          <w:color w:val="003D99"/>
          <w:sz w:val="28"/>
          <w:szCs w:val="28"/>
        </w:rPr>
      </w:pPr>
      <w:bookmarkStart w:id="1" w:name="_scr1uupg62cu" w:colFirst="0" w:colLast="0"/>
      <w:bookmarkEnd w:id="1"/>
      <w:r>
        <w:rPr>
          <w:rFonts w:ascii="Montserrat" w:eastAsia="Montserrat" w:hAnsi="Montserrat" w:cs="Montserrat"/>
          <w:b/>
          <w:color w:val="003D99"/>
          <w:sz w:val="28"/>
          <w:szCs w:val="28"/>
        </w:rPr>
        <w:t>according to Art. 28 GDPR</w:t>
      </w:r>
    </w:p>
    <w:p w:rsidR="00C245BE" w:rsidRDefault="00C245BE">
      <w:pPr>
        <w:spacing w:after="0" w:line="240" w:lineRule="auto"/>
      </w:pPr>
    </w:p>
    <w:p w:rsidR="00C245BE" w:rsidRDefault="00C245BE">
      <w:pPr>
        <w:spacing w:after="0" w:line="240" w:lineRule="auto"/>
      </w:pPr>
    </w:p>
    <w:tbl>
      <w:tblPr>
        <w:tblStyle w:val="a"/>
        <w:tblW w:w="9070" w:type="dxa"/>
        <w:tblInd w:w="-108" w:type="dxa"/>
        <w:tblBorders>
          <w:bottom w:val="dotted" w:sz="4" w:space="0" w:color="000000"/>
        </w:tblBorders>
        <w:tblLayout w:type="fixed"/>
        <w:tblLook w:val="0000" w:firstRow="0" w:lastRow="0" w:firstColumn="0" w:lastColumn="0" w:noHBand="0" w:noVBand="0"/>
      </w:tblPr>
      <w:tblGrid>
        <w:gridCol w:w="9070"/>
      </w:tblGrid>
      <w:tr w:rsidR="00C245BE">
        <w:trPr>
          <w:trHeight w:val="480"/>
        </w:trPr>
        <w:tc>
          <w:tcPr>
            <w:tcW w:w="9070" w:type="dxa"/>
            <w:tcBorders>
              <w:bottom w:val="nil"/>
            </w:tcBorders>
            <w:shd w:val="clear" w:color="auto" w:fill="DEEBF6"/>
          </w:tcPr>
          <w:p w:rsidR="00C245BE" w:rsidRDefault="00A06E1C">
            <w:pPr>
              <w:widowControl w:val="0"/>
              <w:spacing w:before="200"/>
              <w:jc w:val="center"/>
              <w:rPr>
                <w:rFonts w:ascii="Open Sans" w:eastAsia="Open Sans" w:hAnsi="Open Sans" w:cs="Open Sans"/>
                <w:b/>
                <w:sz w:val="22"/>
                <w:szCs w:val="22"/>
              </w:rPr>
            </w:pPr>
            <w:r>
              <w:rPr>
                <w:rFonts w:ascii="Open Sans" w:eastAsia="Open Sans" w:hAnsi="Open Sans" w:cs="Open Sans"/>
                <w:b/>
                <w:sz w:val="22"/>
                <w:szCs w:val="22"/>
              </w:rPr>
              <w:t>[COMPANY]</w:t>
            </w:r>
          </w:p>
        </w:tc>
      </w:tr>
    </w:tbl>
    <w:p w:rsidR="00C245BE" w:rsidRDefault="00A06E1C">
      <w:pPr>
        <w:spacing w:after="0" w:line="240" w:lineRule="auto"/>
        <w:jc w:val="center"/>
        <w:rPr>
          <w:rFonts w:ascii="Open Sans" w:eastAsia="Open Sans" w:hAnsi="Open Sans" w:cs="Open Sans"/>
          <w:sz w:val="20"/>
          <w:szCs w:val="20"/>
        </w:rPr>
      </w:pPr>
      <w:r>
        <w:rPr>
          <w:rFonts w:ascii="Open Sans" w:eastAsia="Open Sans" w:hAnsi="Open Sans" w:cs="Open Sans"/>
          <w:sz w:val="20"/>
          <w:szCs w:val="20"/>
        </w:rPr>
        <w:t>- as the person responsible, hereinafter referred to as the client -</w:t>
      </w:r>
    </w:p>
    <w:p w:rsidR="00C245BE" w:rsidRDefault="00C245BE">
      <w:pPr>
        <w:spacing w:after="0" w:line="240" w:lineRule="auto"/>
      </w:pPr>
    </w:p>
    <w:p w:rsidR="00C245BE" w:rsidRDefault="00A06E1C">
      <w:pPr>
        <w:spacing w:after="0" w:line="240" w:lineRule="auto"/>
        <w:rPr>
          <w:rFonts w:ascii="Open Sans" w:eastAsia="Open Sans" w:hAnsi="Open Sans" w:cs="Open Sans"/>
          <w:sz w:val="20"/>
          <w:szCs w:val="20"/>
        </w:rPr>
      </w:pPr>
      <w:r>
        <w:rPr>
          <w:rFonts w:ascii="Open Sans" w:eastAsia="Open Sans" w:hAnsi="Open Sans" w:cs="Open Sans"/>
          <w:sz w:val="20"/>
          <w:szCs w:val="20"/>
        </w:rPr>
        <w:t>and</w:t>
      </w:r>
    </w:p>
    <w:p w:rsidR="00C245BE" w:rsidRDefault="00C245BE">
      <w:pPr>
        <w:spacing w:after="0" w:line="240" w:lineRule="auto"/>
        <w:rPr>
          <w:rFonts w:ascii="Open Sans" w:eastAsia="Open Sans" w:hAnsi="Open Sans" w:cs="Open Sans"/>
        </w:rPr>
      </w:pPr>
    </w:p>
    <w:p w:rsidR="00C245BE" w:rsidRDefault="00A06E1C">
      <w:pPr>
        <w:spacing w:after="0" w:line="240" w:lineRule="auto"/>
        <w:rPr>
          <w:rFonts w:ascii="Open Sans" w:eastAsia="Open Sans" w:hAnsi="Open Sans" w:cs="Open Sans"/>
          <w:b/>
        </w:rPr>
      </w:pPr>
      <w:r>
        <w:rPr>
          <w:rFonts w:ascii="Open Sans" w:eastAsia="Open Sans" w:hAnsi="Open Sans" w:cs="Open Sans"/>
          <w:b/>
        </w:rPr>
        <w:t xml:space="preserve">Elara Digital GmbH, </w:t>
      </w:r>
      <w:r w:rsidR="004327B5" w:rsidRPr="004327B5">
        <w:rPr>
          <w:rFonts w:ascii="Open Sans" w:eastAsia="Open Sans" w:hAnsi="Open Sans" w:cs="Open Sans"/>
          <w:b/>
        </w:rPr>
        <w:t>Spandauer Damm 71, 14059 Berlin</w:t>
      </w:r>
      <w:bookmarkStart w:id="2" w:name="_GoBack"/>
      <w:bookmarkEnd w:id="2"/>
    </w:p>
    <w:p w:rsidR="00C245BE" w:rsidRDefault="00A06E1C">
      <w:pPr>
        <w:spacing w:after="0" w:line="240" w:lineRule="auto"/>
        <w:jc w:val="center"/>
        <w:rPr>
          <w:rFonts w:ascii="Open Sans" w:eastAsia="Open Sans" w:hAnsi="Open Sans" w:cs="Open Sans"/>
          <w:sz w:val="20"/>
          <w:szCs w:val="20"/>
        </w:rPr>
      </w:pPr>
      <w:r>
        <w:rPr>
          <w:rFonts w:ascii="Open Sans" w:eastAsia="Open Sans" w:hAnsi="Open Sans" w:cs="Open Sans"/>
          <w:sz w:val="20"/>
          <w:szCs w:val="20"/>
        </w:rPr>
        <w:t>- as the processor, hereinafter referred to as contractor -</w:t>
      </w:r>
    </w:p>
    <w:p w:rsidR="00C245BE" w:rsidRDefault="00C245BE">
      <w:pPr>
        <w:spacing w:after="0" w:line="240" w:lineRule="auto"/>
      </w:pPr>
    </w:p>
    <w:p w:rsidR="00C245BE" w:rsidRDefault="00A06E1C">
      <w:pPr>
        <w:keepNext/>
        <w:keepLines/>
        <w:spacing w:before="200" w:after="0" w:line="240" w:lineRule="auto"/>
        <w:jc w:val="both"/>
        <w:rPr>
          <w:rFonts w:ascii="Open Sans" w:eastAsia="Open Sans" w:hAnsi="Open Sans" w:cs="Open Sans"/>
          <w:b/>
          <w:color w:val="003D99"/>
        </w:rPr>
      </w:pPr>
      <w:r>
        <w:rPr>
          <w:rFonts w:ascii="Open Sans" w:eastAsia="Open Sans" w:hAnsi="Open Sans" w:cs="Open Sans"/>
          <w:b/>
          <w:color w:val="003D99"/>
        </w:rPr>
        <w:t xml:space="preserve">Preamble </w:t>
      </w:r>
      <w:r>
        <w:rPr>
          <w:rFonts w:ascii="Open Sans" w:eastAsia="Open Sans" w:hAnsi="Open Sans" w:cs="Open Sans"/>
          <w:b/>
          <w:color w:val="003D99"/>
        </w:rPr>
        <w:br/>
        <w:t>Aim of this agreement</w:t>
      </w:r>
    </w:p>
    <w:p w:rsidR="00C245BE" w:rsidRDefault="00C245BE">
      <w:pPr>
        <w:spacing w:after="0" w:line="240" w:lineRule="auto"/>
        <w:rPr>
          <w:b/>
        </w:rPr>
      </w:pPr>
    </w:p>
    <w:p w:rsidR="00C245BE" w:rsidRDefault="00A06E1C">
      <w:pPr>
        <w:spacing w:after="0" w:line="240" w:lineRule="auto"/>
        <w:jc w:val="both"/>
        <w:rPr>
          <w:rFonts w:ascii="Open Sans" w:eastAsia="Open Sans" w:hAnsi="Open Sans" w:cs="Open Sans"/>
        </w:rPr>
      </w:pPr>
      <w:r>
        <w:rPr>
          <w:rFonts w:ascii="Open Sans" w:eastAsia="Open Sans" w:hAnsi="Open Sans" w:cs="Open Sans"/>
        </w:rPr>
        <w:t>The client has commissioned the contractor to provide services in the area of "Software as a Service" and hosting.</w:t>
      </w:r>
    </w:p>
    <w:p w:rsidR="00C245BE" w:rsidRDefault="00C245BE">
      <w:pPr>
        <w:spacing w:after="0" w:line="240" w:lineRule="auto"/>
        <w:jc w:val="both"/>
        <w:rPr>
          <w:rFonts w:ascii="Open Sans" w:eastAsia="Open Sans" w:hAnsi="Open Sans" w:cs="Open Sans"/>
        </w:rPr>
      </w:pPr>
    </w:p>
    <w:p w:rsidR="00C245BE" w:rsidRDefault="00A06E1C">
      <w:pPr>
        <w:spacing w:after="0" w:line="240" w:lineRule="auto"/>
        <w:jc w:val="both"/>
        <w:rPr>
          <w:rFonts w:ascii="Open Sans" w:eastAsia="Open Sans" w:hAnsi="Open Sans" w:cs="Open Sans"/>
        </w:rPr>
      </w:pPr>
      <w:r>
        <w:rPr>
          <w:rFonts w:ascii="Open Sans" w:eastAsia="Open Sans" w:hAnsi="Open Sans" w:cs="Open Sans"/>
        </w:rPr>
        <w:t>This agreement on commissioned processing (hereinafter referred to as "Agreement") specifies the obligations of the contracting parties under data protection law, which arise in particular from Art. 28 of Regulation (EU) 2016/679 of the European Parliament</w:t>
      </w:r>
      <w:r>
        <w:rPr>
          <w:rFonts w:ascii="Open Sans" w:eastAsia="Open Sans" w:hAnsi="Open Sans" w:cs="Open Sans"/>
        </w:rPr>
        <w:t xml:space="preserve"> and of the Council of 27 April 2016 on the protection of natural persons about the processing of personal data and the free movement of such data, and repealing Directive 95/46/EC (General Data Protection Regulation - GDPR).</w:t>
      </w:r>
    </w:p>
    <w:p w:rsidR="00C245BE" w:rsidRDefault="00C245BE">
      <w:pPr>
        <w:spacing w:after="0" w:line="240" w:lineRule="auto"/>
        <w:jc w:val="both"/>
        <w:rPr>
          <w:rFonts w:ascii="Open Sans" w:eastAsia="Open Sans" w:hAnsi="Open Sans" w:cs="Open Sans"/>
        </w:rPr>
      </w:pPr>
    </w:p>
    <w:p w:rsidR="00C245BE" w:rsidRDefault="00A06E1C">
      <w:pPr>
        <w:spacing w:after="0" w:line="240" w:lineRule="auto"/>
        <w:jc w:val="both"/>
        <w:rPr>
          <w:rFonts w:ascii="Open Sans" w:eastAsia="Open Sans" w:hAnsi="Open Sans" w:cs="Open Sans"/>
        </w:rPr>
      </w:pPr>
      <w:r>
        <w:rPr>
          <w:rFonts w:ascii="Open Sans" w:eastAsia="Open Sans" w:hAnsi="Open Sans" w:cs="Open Sans"/>
        </w:rPr>
        <w:t xml:space="preserve">It applies to all activities </w:t>
      </w:r>
      <w:r>
        <w:rPr>
          <w:rFonts w:ascii="Open Sans" w:eastAsia="Open Sans" w:hAnsi="Open Sans" w:cs="Open Sans"/>
        </w:rPr>
        <w:t>in which the contractor or subcontractors (subcontractors) commissioned by the contractor and previously approved by the client process the client's personal data or may come into contact with such data. Insofar as the term "data" is used in the following,</w:t>
      </w:r>
      <w:r>
        <w:rPr>
          <w:rFonts w:ascii="Open Sans" w:eastAsia="Open Sans" w:hAnsi="Open Sans" w:cs="Open Sans"/>
        </w:rPr>
        <w:t xml:space="preserve"> in case of doubt, this refers to the client's personal data.</w:t>
      </w:r>
    </w:p>
    <w:p w:rsidR="00C245BE" w:rsidRDefault="00C245BE">
      <w:pPr>
        <w:spacing w:after="0" w:line="240" w:lineRule="auto"/>
        <w:rPr>
          <w:rFonts w:ascii="Open Sans" w:eastAsia="Open Sans" w:hAnsi="Open Sans" w:cs="Open Sans"/>
        </w:rPr>
      </w:pPr>
    </w:p>
    <w:p w:rsidR="00C245BE" w:rsidRDefault="00A06E1C">
      <w:pPr>
        <w:keepNext/>
        <w:keepLines/>
        <w:spacing w:before="200" w:after="0" w:line="240" w:lineRule="auto"/>
        <w:rPr>
          <w:rFonts w:ascii="Open Sans" w:eastAsia="Open Sans" w:hAnsi="Open Sans" w:cs="Open Sans"/>
          <w:b/>
          <w:color w:val="003D99"/>
        </w:rPr>
      </w:pPr>
      <w:r>
        <w:rPr>
          <w:rFonts w:ascii="Open Sans" w:eastAsia="Open Sans" w:hAnsi="Open Sans" w:cs="Open Sans"/>
          <w:b/>
          <w:color w:val="003D99"/>
        </w:rPr>
        <w:t>§ 1</w:t>
      </w:r>
      <w:r>
        <w:rPr>
          <w:rFonts w:ascii="Open Sans" w:eastAsia="Open Sans" w:hAnsi="Open Sans" w:cs="Open Sans"/>
          <w:b/>
          <w:color w:val="003D99"/>
        </w:rPr>
        <w:br/>
        <w:t xml:space="preserve">Subject matter and duration of the agreement </w:t>
      </w:r>
      <w:r>
        <w:rPr>
          <w:rFonts w:ascii="Open Sans" w:eastAsia="Open Sans" w:hAnsi="Open Sans" w:cs="Open Sans"/>
          <w:b/>
          <w:color w:val="003D99"/>
        </w:rPr>
        <w:br/>
        <w:t>(on Art. 28 para. 3 GDPR)</w:t>
      </w:r>
    </w:p>
    <w:p w:rsidR="00C245BE" w:rsidRDefault="00C245BE">
      <w:pPr>
        <w:spacing w:after="0" w:line="240" w:lineRule="auto"/>
        <w:rPr>
          <w:rFonts w:ascii="Open Sans" w:eastAsia="Open Sans" w:hAnsi="Open Sans" w:cs="Open Sans"/>
        </w:rPr>
      </w:pPr>
    </w:p>
    <w:p w:rsidR="00C245BE" w:rsidRDefault="00A06E1C">
      <w:pPr>
        <w:spacing w:after="0" w:line="240" w:lineRule="auto"/>
        <w:jc w:val="both"/>
        <w:rPr>
          <w:rFonts w:ascii="Open Sans" w:eastAsia="Open Sans" w:hAnsi="Open Sans" w:cs="Open Sans"/>
        </w:rPr>
      </w:pPr>
      <w:r>
        <w:rPr>
          <w:rFonts w:ascii="Open Sans" w:eastAsia="Open Sans" w:hAnsi="Open Sans" w:cs="Open Sans"/>
        </w:rPr>
        <w:t>The subject matter and duration of the order are determined in full by the information provided in the respective co</w:t>
      </w:r>
      <w:r>
        <w:rPr>
          <w:rFonts w:ascii="Open Sans" w:eastAsia="Open Sans" w:hAnsi="Open Sans" w:cs="Open Sans"/>
        </w:rPr>
        <w:t>ntractual relationship. Based on this contract, the contractor processes personal data for the client within the meaning of Art. 4 No. 2 and Art. 28 GDPR.</w:t>
      </w:r>
    </w:p>
    <w:p w:rsidR="00C245BE" w:rsidRDefault="00C245BE">
      <w:pPr>
        <w:spacing w:after="0" w:line="240" w:lineRule="auto"/>
        <w:jc w:val="both"/>
        <w:rPr>
          <w:rFonts w:ascii="Open Sans" w:eastAsia="Open Sans" w:hAnsi="Open Sans" w:cs="Open Sans"/>
        </w:rPr>
      </w:pPr>
    </w:p>
    <w:p w:rsidR="00C245BE" w:rsidRDefault="00A06E1C">
      <w:pPr>
        <w:keepNext/>
        <w:keepLines/>
        <w:spacing w:before="200" w:after="0" w:line="240" w:lineRule="auto"/>
        <w:rPr>
          <w:rFonts w:ascii="Open Sans" w:eastAsia="Open Sans" w:hAnsi="Open Sans" w:cs="Open Sans"/>
          <w:b/>
          <w:color w:val="003D99"/>
        </w:rPr>
      </w:pPr>
      <w:r>
        <w:rPr>
          <w:rFonts w:ascii="Open Sans" w:eastAsia="Open Sans" w:hAnsi="Open Sans" w:cs="Open Sans"/>
          <w:b/>
          <w:color w:val="003D99"/>
        </w:rPr>
        <w:t>§ 2</w:t>
      </w:r>
      <w:r>
        <w:rPr>
          <w:rFonts w:ascii="Open Sans" w:eastAsia="Open Sans" w:hAnsi="Open Sans" w:cs="Open Sans"/>
          <w:b/>
          <w:color w:val="003D99"/>
        </w:rPr>
        <w:br/>
        <w:t xml:space="preserve">Scope, type and purpose of the commissioned processing, type of data, group of data subjects </w:t>
      </w:r>
      <w:r>
        <w:rPr>
          <w:rFonts w:ascii="Open Sans" w:eastAsia="Open Sans" w:hAnsi="Open Sans" w:cs="Open Sans"/>
          <w:b/>
          <w:color w:val="003D99"/>
        </w:rPr>
        <w:br/>
        <w:t>(o</w:t>
      </w:r>
      <w:r>
        <w:rPr>
          <w:rFonts w:ascii="Open Sans" w:eastAsia="Open Sans" w:hAnsi="Open Sans" w:cs="Open Sans"/>
          <w:b/>
          <w:color w:val="003D99"/>
        </w:rPr>
        <w:t>n Art. 28 (3) GDPR)</w:t>
      </w:r>
    </w:p>
    <w:p w:rsidR="00C245BE" w:rsidRDefault="00C245BE">
      <w:pPr>
        <w:spacing w:after="0" w:line="240" w:lineRule="auto"/>
        <w:rPr>
          <w:rFonts w:ascii="Open Sans" w:eastAsia="Open Sans" w:hAnsi="Open Sans" w:cs="Open Sans"/>
        </w:rPr>
      </w:pPr>
    </w:p>
    <w:p w:rsidR="00C245BE" w:rsidRDefault="00A06E1C">
      <w:pPr>
        <w:numPr>
          <w:ilvl w:val="1"/>
          <w:numId w:val="4"/>
        </w:numPr>
        <w:spacing w:after="0" w:line="240" w:lineRule="auto"/>
        <w:ind w:left="709" w:hanging="709"/>
        <w:jc w:val="both"/>
        <w:rPr>
          <w:rFonts w:ascii="Open Sans" w:eastAsia="Open Sans" w:hAnsi="Open Sans" w:cs="Open Sans"/>
        </w:rPr>
      </w:pPr>
      <w:r>
        <w:rPr>
          <w:rFonts w:ascii="Open Sans" w:eastAsia="Open Sans" w:hAnsi="Open Sans" w:cs="Open Sans"/>
        </w:rPr>
        <w:t>Description of the processing operation (Art. 4 No. 2 GDPR)</w:t>
      </w:r>
    </w:p>
    <w:p w:rsidR="00C245BE" w:rsidRDefault="00C245BE">
      <w:pPr>
        <w:spacing w:after="0" w:line="240" w:lineRule="auto"/>
        <w:rPr>
          <w:rFonts w:ascii="Open Sans" w:eastAsia="Open Sans" w:hAnsi="Open Sans" w:cs="Open Sans"/>
        </w:rPr>
      </w:pPr>
    </w:p>
    <w:p w:rsidR="00C245BE" w:rsidRDefault="00A06E1C">
      <w:pPr>
        <w:spacing w:after="0" w:line="240" w:lineRule="auto"/>
        <w:ind w:left="709"/>
        <w:rPr>
          <w:rFonts w:ascii="Open Sans" w:eastAsia="Open Sans" w:hAnsi="Open Sans" w:cs="Open Sans"/>
        </w:rPr>
      </w:pPr>
      <w:r>
        <w:rPr>
          <w:rFonts w:ascii="Open Sans" w:eastAsia="Open Sans" w:hAnsi="Open Sans" w:cs="Open Sans"/>
        </w:rPr>
        <w:t>Nature and purpose of processing</w:t>
      </w:r>
    </w:p>
    <w:p w:rsidR="00C245BE" w:rsidRDefault="00C245BE">
      <w:pPr>
        <w:spacing w:after="0" w:line="240" w:lineRule="auto"/>
        <w:ind w:left="709"/>
        <w:rPr>
          <w:rFonts w:ascii="Open Sans" w:eastAsia="Open Sans" w:hAnsi="Open Sans" w:cs="Open Sans"/>
        </w:rPr>
      </w:pPr>
    </w:p>
    <w:tbl>
      <w:tblPr>
        <w:tblStyle w:val="a0"/>
        <w:tblW w:w="8363" w:type="dxa"/>
        <w:tblInd w:w="709" w:type="dxa"/>
        <w:tblBorders>
          <w:bottom w:val="dotted" w:sz="4" w:space="0" w:color="000000"/>
        </w:tblBorders>
        <w:tblLayout w:type="fixed"/>
        <w:tblLook w:val="0000" w:firstRow="0" w:lastRow="0" w:firstColumn="0" w:lastColumn="0" w:noHBand="0" w:noVBand="0"/>
      </w:tblPr>
      <w:tblGrid>
        <w:gridCol w:w="8363"/>
      </w:tblGrid>
      <w:tr w:rsidR="00C245BE">
        <w:trPr>
          <w:trHeight w:val="561"/>
        </w:trPr>
        <w:tc>
          <w:tcPr>
            <w:tcW w:w="8363" w:type="dxa"/>
            <w:shd w:val="clear" w:color="auto" w:fill="DEEBF6"/>
          </w:tcPr>
          <w:p w:rsidR="00C245BE" w:rsidRDefault="00A06E1C">
            <w:pPr>
              <w:rPr>
                <w:rFonts w:ascii="Open Sans" w:eastAsia="Open Sans" w:hAnsi="Open Sans" w:cs="Open Sans"/>
              </w:rPr>
            </w:pPr>
            <w:r>
              <w:rPr>
                <w:rFonts w:ascii="Open Sans" w:eastAsia="Open Sans" w:hAnsi="Open Sans" w:cs="Open Sans"/>
              </w:rPr>
              <w:t>The processing of personal data by the contractor takes place within the scope of and serves to enable the use of the software offered by th</w:t>
            </w:r>
            <w:r>
              <w:rPr>
                <w:rFonts w:ascii="Open Sans" w:eastAsia="Open Sans" w:hAnsi="Open Sans" w:cs="Open Sans"/>
              </w:rPr>
              <w:t>e client and its employees.</w:t>
            </w:r>
          </w:p>
        </w:tc>
      </w:tr>
    </w:tbl>
    <w:p w:rsidR="00C245BE" w:rsidRDefault="00C245BE">
      <w:pPr>
        <w:spacing w:after="0" w:line="240" w:lineRule="auto"/>
        <w:ind w:left="708"/>
        <w:rPr>
          <w:rFonts w:ascii="Open Sans" w:eastAsia="Open Sans" w:hAnsi="Open Sans" w:cs="Open Sans"/>
        </w:rPr>
      </w:pPr>
    </w:p>
    <w:p w:rsidR="00C245BE" w:rsidRDefault="00C245BE">
      <w:pPr>
        <w:spacing w:after="0" w:line="240" w:lineRule="auto"/>
        <w:ind w:left="708"/>
        <w:rPr>
          <w:rFonts w:ascii="Open Sans" w:eastAsia="Open Sans" w:hAnsi="Open Sans" w:cs="Open Sans"/>
        </w:rPr>
      </w:pPr>
    </w:p>
    <w:p w:rsidR="00C245BE" w:rsidRDefault="00A06E1C">
      <w:pPr>
        <w:numPr>
          <w:ilvl w:val="1"/>
          <w:numId w:val="4"/>
        </w:numPr>
        <w:spacing w:after="0" w:line="240" w:lineRule="auto"/>
        <w:ind w:left="709" w:hanging="709"/>
        <w:jc w:val="both"/>
        <w:rPr>
          <w:rFonts w:ascii="Open Sans" w:eastAsia="Open Sans" w:hAnsi="Open Sans" w:cs="Open Sans"/>
        </w:rPr>
      </w:pPr>
      <w:r>
        <w:rPr>
          <w:rFonts w:ascii="Open Sans" w:eastAsia="Open Sans" w:hAnsi="Open Sans" w:cs="Open Sans"/>
        </w:rPr>
        <w:t>Type of personal data (Art. 4 No. 1 GDPR):</w:t>
      </w:r>
    </w:p>
    <w:p w:rsidR="00C245BE" w:rsidRDefault="00C245BE">
      <w:pPr>
        <w:spacing w:after="0" w:line="240" w:lineRule="auto"/>
        <w:ind w:left="708"/>
        <w:rPr>
          <w:rFonts w:ascii="Open Sans" w:eastAsia="Open Sans" w:hAnsi="Open Sans" w:cs="Open Sans"/>
        </w:rPr>
      </w:pPr>
    </w:p>
    <w:tbl>
      <w:tblPr>
        <w:tblStyle w:val="a1"/>
        <w:tblW w:w="8363" w:type="dxa"/>
        <w:tblInd w:w="709" w:type="dxa"/>
        <w:tblBorders>
          <w:bottom w:val="dotted" w:sz="4" w:space="0" w:color="000000"/>
        </w:tblBorders>
        <w:tblLayout w:type="fixed"/>
        <w:tblLook w:val="0000" w:firstRow="0" w:lastRow="0" w:firstColumn="0" w:lastColumn="0" w:noHBand="0" w:noVBand="0"/>
      </w:tblPr>
      <w:tblGrid>
        <w:gridCol w:w="8363"/>
      </w:tblGrid>
      <w:tr w:rsidR="00C245BE">
        <w:tc>
          <w:tcPr>
            <w:tcW w:w="8363" w:type="dxa"/>
            <w:shd w:val="clear" w:color="auto" w:fill="DEEBF6"/>
          </w:tcPr>
          <w:p w:rsidR="00C245BE" w:rsidRDefault="00A06E1C">
            <w:pPr>
              <w:ind w:left="709"/>
              <w:rPr>
                <w:rFonts w:ascii="Open Sans" w:eastAsia="Open Sans" w:hAnsi="Open Sans" w:cs="Open Sans"/>
                <w:u w:val="single"/>
              </w:rPr>
            </w:pPr>
            <w:r>
              <w:rPr>
                <w:rFonts w:ascii="Open Sans" w:eastAsia="Open Sans" w:hAnsi="Open Sans" w:cs="Open Sans"/>
                <w:u w:val="single"/>
              </w:rPr>
              <w:t>Customer data</w:t>
            </w:r>
          </w:p>
          <w:p w:rsidR="00C245BE" w:rsidRDefault="00A06E1C">
            <w:pPr>
              <w:numPr>
                <w:ilvl w:val="1"/>
                <w:numId w:val="1"/>
              </w:numPr>
              <w:rPr>
                <w:rFonts w:ascii="Open Sans" w:eastAsia="Open Sans" w:hAnsi="Open Sans" w:cs="Open Sans"/>
              </w:rPr>
            </w:pPr>
            <w:r>
              <w:rPr>
                <w:rFonts w:ascii="Open Sans" w:eastAsia="Open Sans" w:hAnsi="Open Sans" w:cs="Open Sans"/>
              </w:rPr>
              <w:t>Name (first name, surname)</w:t>
            </w:r>
          </w:p>
          <w:p w:rsidR="00C245BE" w:rsidRDefault="00A06E1C">
            <w:pPr>
              <w:numPr>
                <w:ilvl w:val="1"/>
                <w:numId w:val="1"/>
              </w:numPr>
              <w:rPr>
                <w:rFonts w:ascii="Open Sans" w:eastAsia="Open Sans" w:hAnsi="Open Sans" w:cs="Open Sans"/>
              </w:rPr>
            </w:pPr>
            <w:r>
              <w:rPr>
                <w:rFonts w:ascii="Open Sans" w:eastAsia="Open Sans" w:hAnsi="Open Sans" w:cs="Open Sans"/>
              </w:rPr>
              <w:t>Telephone number</w:t>
            </w:r>
          </w:p>
          <w:p w:rsidR="00C245BE" w:rsidRDefault="00A06E1C">
            <w:pPr>
              <w:numPr>
                <w:ilvl w:val="1"/>
                <w:numId w:val="1"/>
              </w:numPr>
              <w:rPr>
                <w:rFonts w:ascii="Open Sans" w:eastAsia="Open Sans" w:hAnsi="Open Sans" w:cs="Open Sans"/>
              </w:rPr>
            </w:pPr>
            <w:r>
              <w:rPr>
                <w:rFonts w:ascii="Open Sans" w:eastAsia="Open Sans" w:hAnsi="Open Sans" w:cs="Open Sans"/>
              </w:rPr>
              <w:t>e-mail address</w:t>
            </w:r>
          </w:p>
          <w:p w:rsidR="00C245BE" w:rsidRDefault="00A06E1C">
            <w:pPr>
              <w:numPr>
                <w:ilvl w:val="1"/>
                <w:numId w:val="1"/>
              </w:numPr>
              <w:rPr>
                <w:rFonts w:ascii="Open Sans" w:eastAsia="Open Sans" w:hAnsi="Open Sans" w:cs="Open Sans"/>
              </w:rPr>
            </w:pPr>
            <w:r>
              <w:rPr>
                <w:rFonts w:ascii="Open Sans" w:eastAsia="Open Sans" w:hAnsi="Open Sans" w:cs="Open Sans"/>
              </w:rPr>
              <w:t>Profile picture</w:t>
            </w:r>
          </w:p>
          <w:p w:rsidR="00C245BE" w:rsidRDefault="00A06E1C">
            <w:pPr>
              <w:numPr>
                <w:ilvl w:val="1"/>
                <w:numId w:val="1"/>
              </w:numPr>
              <w:rPr>
                <w:rFonts w:ascii="Open Sans" w:eastAsia="Open Sans" w:hAnsi="Open Sans" w:cs="Open Sans"/>
              </w:rPr>
            </w:pPr>
            <w:r>
              <w:rPr>
                <w:rFonts w:ascii="Open Sans" w:eastAsia="Open Sans" w:hAnsi="Open Sans" w:cs="Open Sans"/>
              </w:rPr>
              <w:t>Comments</w:t>
            </w:r>
          </w:p>
          <w:p w:rsidR="00C245BE" w:rsidRDefault="00C245BE">
            <w:pPr>
              <w:ind w:left="1440"/>
              <w:rPr>
                <w:rFonts w:ascii="Open Sans" w:eastAsia="Open Sans" w:hAnsi="Open Sans" w:cs="Open Sans"/>
                <w:u w:val="single"/>
              </w:rPr>
            </w:pPr>
          </w:p>
          <w:p w:rsidR="00C245BE" w:rsidRDefault="00A06E1C">
            <w:pPr>
              <w:ind w:left="709"/>
              <w:rPr>
                <w:rFonts w:ascii="Open Sans" w:eastAsia="Open Sans" w:hAnsi="Open Sans" w:cs="Open Sans"/>
                <w:u w:val="single"/>
              </w:rPr>
            </w:pPr>
            <w:r>
              <w:rPr>
                <w:rFonts w:ascii="Open Sans" w:eastAsia="Open Sans" w:hAnsi="Open Sans" w:cs="Open Sans"/>
                <w:u w:val="single"/>
              </w:rPr>
              <w:t>Employee data of the customer</w:t>
            </w:r>
          </w:p>
          <w:p w:rsidR="00C245BE" w:rsidRDefault="00A06E1C">
            <w:pPr>
              <w:numPr>
                <w:ilvl w:val="1"/>
                <w:numId w:val="1"/>
              </w:numPr>
              <w:rPr>
                <w:rFonts w:ascii="Open Sans" w:eastAsia="Open Sans" w:hAnsi="Open Sans" w:cs="Open Sans"/>
              </w:rPr>
            </w:pPr>
            <w:r>
              <w:rPr>
                <w:rFonts w:ascii="Open Sans" w:eastAsia="Open Sans" w:hAnsi="Open Sans" w:cs="Open Sans"/>
              </w:rPr>
              <w:t>Name (first name, surname)</w:t>
            </w:r>
          </w:p>
          <w:p w:rsidR="00C245BE" w:rsidRDefault="00A06E1C">
            <w:pPr>
              <w:numPr>
                <w:ilvl w:val="1"/>
                <w:numId w:val="1"/>
              </w:numPr>
              <w:rPr>
                <w:rFonts w:ascii="Open Sans" w:eastAsia="Open Sans" w:hAnsi="Open Sans" w:cs="Open Sans"/>
              </w:rPr>
            </w:pPr>
            <w:r>
              <w:rPr>
                <w:rFonts w:ascii="Open Sans" w:eastAsia="Open Sans" w:hAnsi="Open Sans" w:cs="Open Sans"/>
              </w:rPr>
              <w:t xml:space="preserve">Telephone number </w:t>
            </w:r>
          </w:p>
          <w:p w:rsidR="00C245BE" w:rsidRDefault="00A06E1C">
            <w:pPr>
              <w:numPr>
                <w:ilvl w:val="1"/>
                <w:numId w:val="1"/>
              </w:numPr>
              <w:rPr>
                <w:rFonts w:ascii="Open Sans" w:eastAsia="Open Sans" w:hAnsi="Open Sans" w:cs="Open Sans"/>
              </w:rPr>
            </w:pPr>
            <w:r>
              <w:rPr>
                <w:rFonts w:ascii="Open Sans" w:eastAsia="Open Sans" w:hAnsi="Open Sans" w:cs="Open Sans"/>
              </w:rPr>
              <w:t>e-mail address</w:t>
            </w:r>
          </w:p>
          <w:p w:rsidR="00C245BE" w:rsidRDefault="00A06E1C">
            <w:pPr>
              <w:numPr>
                <w:ilvl w:val="1"/>
                <w:numId w:val="1"/>
              </w:numPr>
              <w:rPr>
                <w:rFonts w:ascii="Open Sans" w:eastAsia="Open Sans" w:hAnsi="Open Sans" w:cs="Open Sans"/>
              </w:rPr>
            </w:pPr>
            <w:r>
              <w:rPr>
                <w:rFonts w:ascii="Open Sans" w:eastAsia="Open Sans" w:hAnsi="Open Sans" w:cs="Open Sans"/>
              </w:rPr>
              <w:t>Profile picture</w:t>
            </w:r>
          </w:p>
          <w:p w:rsidR="00C245BE" w:rsidRDefault="00A06E1C">
            <w:pPr>
              <w:numPr>
                <w:ilvl w:val="1"/>
                <w:numId w:val="1"/>
              </w:numPr>
              <w:rPr>
                <w:rFonts w:ascii="Open Sans" w:eastAsia="Open Sans" w:hAnsi="Open Sans" w:cs="Open Sans"/>
              </w:rPr>
            </w:pPr>
            <w:r>
              <w:rPr>
                <w:rFonts w:ascii="Open Sans" w:eastAsia="Open Sans" w:hAnsi="Open Sans" w:cs="Open Sans"/>
              </w:rPr>
              <w:t>Comments</w:t>
            </w:r>
          </w:p>
        </w:tc>
      </w:tr>
      <w:tr w:rsidR="00C245BE">
        <w:tc>
          <w:tcPr>
            <w:tcW w:w="8363" w:type="dxa"/>
            <w:shd w:val="clear" w:color="auto" w:fill="DEEBF6"/>
          </w:tcPr>
          <w:p w:rsidR="00C245BE" w:rsidRDefault="00C245BE">
            <w:pPr>
              <w:rPr>
                <w:rFonts w:ascii="Open Sans" w:eastAsia="Open Sans" w:hAnsi="Open Sans" w:cs="Open Sans"/>
                <w:u w:val="single"/>
              </w:rPr>
            </w:pPr>
          </w:p>
        </w:tc>
      </w:tr>
    </w:tbl>
    <w:p w:rsidR="00C245BE" w:rsidRDefault="00C245BE">
      <w:pPr>
        <w:spacing w:after="0" w:line="240" w:lineRule="auto"/>
        <w:rPr>
          <w:rFonts w:ascii="Open Sans" w:eastAsia="Open Sans" w:hAnsi="Open Sans" w:cs="Open Sans"/>
        </w:rPr>
      </w:pPr>
    </w:p>
    <w:p w:rsidR="00C245BE" w:rsidRDefault="00C245BE">
      <w:pPr>
        <w:spacing w:after="0" w:line="240" w:lineRule="auto"/>
        <w:rPr>
          <w:rFonts w:ascii="Open Sans" w:eastAsia="Open Sans" w:hAnsi="Open Sans" w:cs="Open Sans"/>
        </w:rPr>
      </w:pPr>
    </w:p>
    <w:p w:rsidR="00C245BE" w:rsidRDefault="00A06E1C">
      <w:pPr>
        <w:numPr>
          <w:ilvl w:val="1"/>
          <w:numId w:val="4"/>
        </w:numPr>
        <w:spacing w:after="0" w:line="240" w:lineRule="auto"/>
        <w:ind w:left="709" w:hanging="709"/>
        <w:jc w:val="both"/>
        <w:rPr>
          <w:rFonts w:ascii="Open Sans" w:eastAsia="Open Sans" w:hAnsi="Open Sans" w:cs="Open Sans"/>
        </w:rPr>
      </w:pPr>
      <w:r>
        <w:rPr>
          <w:rFonts w:ascii="Open Sans" w:eastAsia="Open Sans" w:hAnsi="Open Sans" w:cs="Open Sans"/>
        </w:rPr>
        <w:t>Categories of data subjects:</w:t>
      </w:r>
    </w:p>
    <w:p w:rsidR="00C245BE" w:rsidRDefault="00C245BE">
      <w:pPr>
        <w:spacing w:after="0" w:line="240" w:lineRule="auto"/>
        <w:rPr>
          <w:rFonts w:ascii="Open Sans" w:eastAsia="Open Sans" w:hAnsi="Open Sans" w:cs="Open Sans"/>
        </w:rPr>
      </w:pPr>
    </w:p>
    <w:tbl>
      <w:tblPr>
        <w:tblStyle w:val="a2"/>
        <w:tblW w:w="8363" w:type="dxa"/>
        <w:tblInd w:w="709" w:type="dxa"/>
        <w:tblBorders>
          <w:bottom w:val="dotted" w:sz="4" w:space="0" w:color="000000"/>
        </w:tblBorders>
        <w:tblLayout w:type="fixed"/>
        <w:tblLook w:val="0000" w:firstRow="0" w:lastRow="0" w:firstColumn="0" w:lastColumn="0" w:noHBand="0" w:noVBand="0"/>
      </w:tblPr>
      <w:tblGrid>
        <w:gridCol w:w="8363"/>
      </w:tblGrid>
      <w:tr w:rsidR="00C245BE">
        <w:tc>
          <w:tcPr>
            <w:tcW w:w="8363" w:type="dxa"/>
            <w:shd w:val="clear" w:color="auto" w:fill="DEEBF6"/>
          </w:tcPr>
          <w:p w:rsidR="00C245BE" w:rsidRDefault="00A06E1C">
            <w:pPr>
              <w:numPr>
                <w:ilvl w:val="0"/>
                <w:numId w:val="2"/>
              </w:numPr>
              <w:rPr>
                <w:rFonts w:ascii="Open Sans" w:eastAsia="Open Sans" w:hAnsi="Open Sans" w:cs="Open Sans"/>
                <w:sz w:val="22"/>
                <w:szCs w:val="22"/>
              </w:rPr>
            </w:pPr>
            <w:r>
              <w:rPr>
                <w:rFonts w:ascii="Open Sans" w:eastAsia="Open Sans" w:hAnsi="Open Sans" w:cs="Open Sans"/>
                <w:sz w:val="22"/>
                <w:szCs w:val="22"/>
              </w:rPr>
              <w:t>Customer</w:t>
            </w:r>
          </w:p>
          <w:p w:rsidR="00C245BE" w:rsidRDefault="00A06E1C">
            <w:pPr>
              <w:numPr>
                <w:ilvl w:val="0"/>
                <w:numId w:val="2"/>
              </w:numPr>
              <w:rPr>
                <w:rFonts w:ascii="Open Sans" w:eastAsia="Open Sans" w:hAnsi="Open Sans" w:cs="Open Sans"/>
                <w:sz w:val="22"/>
                <w:szCs w:val="22"/>
              </w:rPr>
            </w:pPr>
            <w:r>
              <w:rPr>
                <w:rFonts w:ascii="Open Sans" w:eastAsia="Open Sans" w:hAnsi="Open Sans" w:cs="Open Sans"/>
                <w:sz w:val="22"/>
                <w:szCs w:val="22"/>
              </w:rPr>
              <w:t>Employee of the customer</w:t>
            </w:r>
          </w:p>
        </w:tc>
      </w:tr>
    </w:tbl>
    <w:p w:rsidR="00C245BE" w:rsidRDefault="00C245BE">
      <w:pPr>
        <w:spacing w:after="0" w:line="240" w:lineRule="auto"/>
        <w:rPr>
          <w:rFonts w:ascii="Open Sans" w:eastAsia="Open Sans" w:hAnsi="Open Sans" w:cs="Open Sans"/>
        </w:rPr>
      </w:pPr>
    </w:p>
    <w:p w:rsidR="00C245BE" w:rsidRDefault="00C245BE">
      <w:pPr>
        <w:spacing w:after="0" w:line="240" w:lineRule="auto"/>
        <w:rPr>
          <w:rFonts w:ascii="Open Sans" w:eastAsia="Open Sans" w:hAnsi="Open Sans" w:cs="Open Sans"/>
        </w:rPr>
      </w:pPr>
    </w:p>
    <w:p w:rsidR="00C245BE" w:rsidRDefault="00C245BE">
      <w:pPr>
        <w:spacing w:after="0" w:line="240" w:lineRule="auto"/>
        <w:rPr>
          <w:rFonts w:ascii="Open Sans" w:eastAsia="Open Sans" w:hAnsi="Open Sans" w:cs="Open Sans"/>
        </w:rPr>
      </w:pPr>
    </w:p>
    <w:p w:rsidR="00C245BE" w:rsidRDefault="00A06E1C">
      <w:pPr>
        <w:keepNext/>
        <w:keepLines/>
        <w:spacing w:before="200" w:after="0" w:line="240" w:lineRule="auto"/>
        <w:rPr>
          <w:rFonts w:ascii="Open Sans" w:eastAsia="Open Sans" w:hAnsi="Open Sans" w:cs="Open Sans"/>
          <w:b/>
          <w:color w:val="003D99"/>
        </w:rPr>
      </w:pPr>
      <w:bookmarkStart w:id="3" w:name="_gjdgxs" w:colFirst="0" w:colLast="0"/>
      <w:bookmarkEnd w:id="3"/>
      <w:r>
        <w:rPr>
          <w:rFonts w:ascii="Open Sans" w:eastAsia="Open Sans" w:hAnsi="Open Sans" w:cs="Open Sans"/>
          <w:b/>
          <w:color w:val="003D99"/>
        </w:rPr>
        <w:t>§ 3</w:t>
      </w:r>
      <w:r>
        <w:rPr>
          <w:rFonts w:ascii="Open Sans" w:eastAsia="Open Sans" w:hAnsi="Open Sans" w:cs="Open Sans"/>
          <w:b/>
          <w:color w:val="003D99"/>
        </w:rPr>
        <w:br/>
        <w:t>Instructions and powers to issue instructions</w:t>
      </w:r>
      <w:r>
        <w:rPr>
          <w:rFonts w:ascii="Open Sans" w:eastAsia="Open Sans" w:hAnsi="Open Sans" w:cs="Open Sans"/>
          <w:b/>
          <w:color w:val="003D99"/>
        </w:rPr>
        <w:br/>
        <w:t>(on Art. 28 para. 3 lit. a, 29 GDPR)</w:t>
      </w:r>
    </w:p>
    <w:p w:rsidR="00C245BE" w:rsidRDefault="00C245BE">
      <w:pPr>
        <w:spacing w:after="0" w:line="240" w:lineRule="auto"/>
        <w:jc w:val="both"/>
        <w:rPr>
          <w:rFonts w:ascii="Open Sans" w:eastAsia="Open Sans" w:hAnsi="Open Sans" w:cs="Open Sans"/>
        </w:rPr>
      </w:pPr>
    </w:p>
    <w:p w:rsidR="00C245BE" w:rsidRDefault="00A06E1C">
      <w:pPr>
        <w:numPr>
          <w:ilvl w:val="1"/>
          <w:numId w:val="7"/>
        </w:numPr>
        <w:spacing w:after="0" w:line="240" w:lineRule="auto"/>
        <w:ind w:left="709" w:hanging="709"/>
        <w:jc w:val="both"/>
        <w:rPr>
          <w:rFonts w:ascii="Open Sans" w:eastAsia="Open Sans" w:hAnsi="Open Sans" w:cs="Open Sans"/>
        </w:rPr>
      </w:pPr>
      <w:r>
        <w:rPr>
          <w:rFonts w:ascii="Open Sans" w:eastAsia="Open Sans" w:hAnsi="Open Sans" w:cs="Open Sans"/>
        </w:rPr>
        <w:t xml:space="preserve">The Contractor shall process the Client Data only within the scope of the assignment and exclusively on behalf of and by the instructions of the Client within the meaning of Art. 28 GDPR (order processing); this applies in particular about the transfer of </w:t>
      </w:r>
      <w:r>
        <w:rPr>
          <w:rFonts w:ascii="Open Sans" w:eastAsia="Open Sans" w:hAnsi="Open Sans" w:cs="Open Sans"/>
        </w:rPr>
        <w:t>personal data to a third country or an international organisation. In this respect, the client has the sole right to issue instructions regarding the type, scope and method of processing activities (hereinafter referred to as the "right to issue instructio</w:t>
      </w:r>
      <w:r>
        <w:rPr>
          <w:rFonts w:ascii="Open Sans" w:eastAsia="Open Sans" w:hAnsi="Open Sans" w:cs="Open Sans"/>
        </w:rPr>
        <w:t>ns"). If the Contractor is obliged by the law of the European Union or the Member States to which it is subject to carry out further processing, it shall inform the Client of these legal requirements before processing.</w:t>
      </w:r>
    </w:p>
    <w:p w:rsidR="00C245BE" w:rsidRDefault="00C245BE">
      <w:pPr>
        <w:spacing w:after="0" w:line="240" w:lineRule="auto"/>
        <w:ind w:left="709"/>
        <w:jc w:val="both"/>
        <w:rPr>
          <w:rFonts w:ascii="Open Sans" w:eastAsia="Open Sans" w:hAnsi="Open Sans" w:cs="Open Sans"/>
        </w:rPr>
      </w:pPr>
    </w:p>
    <w:p w:rsidR="00C245BE" w:rsidRDefault="00A06E1C">
      <w:pPr>
        <w:numPr>
          <w:ilvl w:val="1"/>
          <w:numId w:val="7"/>
        </w:numPr>
        <w:spacing w:after="0" w:line="240" w:lineRule="auto"/>
        <w:ind w:left="709" w:hanging="709"/>
        <w:jc w:val="both"/>
        <w:rPr>
          <w:rFonts w:ascii="Open Sans" w:eastAsia="Open Sans" w:hAnsi="Open Sans" w:cs="Open Sans"/>
        </w:rPr>
      </w:pPr>
      <w:r>
        <w:rPr>
          <w:rFonts w:ascii="Open Sans" w:eastAsia="Open Sans" w:hAnsi="Open Sans" w:cs="Open Sans"/>
        </w:rPr>
        <w:lastRenderedPageBreak/>
        <w:t xml:space="preserve">Instructions shall always be issued </w:t>
      </w:r>
      <w:r>
        <w:rPr>
          <w:rFonts w:ascii="Open Sans" w:eastAsia="Open Sans" w:hAnsi="Open Sans" w:cs="Open Sans"/>
        </w:rPr>
        <w:t xml:space="preserve">by the Client in writing; the Client shall confirm verbal instructions in text form. If the Contractor thinks that an instruction from the Client violates data protection regulations, it must inform the Client immediately. The Contractor shall be entitled </w:t>
      </w:r>
      <w:r>
        <w:rPr>
          <w:rFonts w:ascii="Open Sans" w:eastAsia="Open Sans" w:hAnsi="Open Sans" w:cs="Open Sans"/>
        </w:rPr>
        <w:t>to suspend the execution of the instruction in question until it has been confirmed or amended by the Client.</w:t>
      </w:r>
    </w:p>
    <w:p w:rsidR="00C245BE" w:rsidRDefault="00C245BE">
      <w:pPr>
        <w:spacing w:after="0" w:line="240" w:lineRule="auto"/>
        <w:ind w:left="709"/>
        <w:jc w:val="both"/>
        <w:rPr>
          <w:rFonts w:ascii="Open Sans" w:eastAsia="Open Sans" w:hAnsi="Open Sans" w:cs="Open Sans"/>
        </w:rPr>
      </w:pPr>
    </w:p>
    <w:p w:rsidR="00C245BE" w:rsidRDefault="00C245BE">
      <w:pPr>
        <w:spacing w:after="0" w:line="240" w:lineRule="auto"/>
        <w:ind w:left="709"/>
        <w:jc w:val="both"/>
        <w:rPr>
          <w:rFonts w:ascii="Open Sans" w:eastAsia="Open Sans" w:hAnsi="Open Sans" w:cs="Open Sans"/>
        </w:rPr>
      </w:pPr>
    </w:p>
    <w:p w:rsidR="00C245BE" w:rsidRDefault="00A06E1C">
      <w:pPr>
        <w:keepNext/>
        <w:keepLines/>
        <w:spacing w:before="200" w:after="0" w:line="240" w:lineRule="auto"/>
        <w:rPr>
          <w:rFonts w:ascii="Open Sans" w:eastAsia="Open Sans" w:hAnsi="Open Sans" w:cs="Open Sans"/>
          <w:b/>
          <w:color w:val="003D99"/>
        </w:rPr>
      </w:pPr>
      <w:r>
        <w:rPr>
          <w:rFonts w:ascii="Open Sans" w:eastAsia="Open Sans" w:hAnsi="Open Sans" w:cs="Open Sans"/>
          <w:b/>
          <w:color w:val="003D99"/>
        </w:rPr>
        <w:t>§ 4</w:t>
      </w:r>
      <w:r>
        <w:rPr>
          <w:rFonts w:ascii="Open Sans" w:eastAsia="Open Sans" w:hAnsi="Open Sans" w:cs="Open Sans"/>
          <w:b/>
          <w:color w:val="003D99"/>
        </w:rPr>
        <w:br/>
        <w:t>Technical and organizational measures, Data protection and data security concept</w:t>
      </w:r>
      <w:r>
        <w:rPr>
          <w:rFonts w:ascii="Open Sans" w:eastAsia="Open Sans" w:hAnsi="Open Sans" w:cs="Open Sans"/>
          <w:b/>
          <w:color w:val="003D99"/>
        </w:rPr>
        <w:br/>
        <w:t>(on Art. 28 para. 3 lit. c GDPR)</w:t>
      </w:r>
    </w:p>
    <w:p w:rsidR="00C245BE" w:rsidRDefault="00C245BE">
      <w:pPr>
        <w:spacing w:after="0" w:line="240" w:lineRule="auto"/>
        <w:ind w:left="709" w:hanging="709"/>
        <w:jc w:val="center"/>
        <w:rPr>
          <w:rFonts w:ascii="Open Sans" w:eastAsia="Open Sans" w:hAnsi="Open Sans" w:cs="Open Sans"/>
        </w:rPr>
      </w:pPr>
    </w:p>
    <w:p w:rsidR="00C245BE" w:rsidRDefault="00A06E1C">
      <w:pPr>
        <w:numPr>
          <w:ilvl w:val="1"/>
          <w:numId w:val="9"/>
        </w:numPr>
        <w:spacing w:after="0" w:line="240" w:lineRule="auto"/>
        <w:ind w:left="720" w:hanging="709"/>
        <w:jc w:val="both"/>
        <w:rPr>
          <w:rFonts w:ascii="Open Sans" w:eastAsia="Open Sans" w:hAnsi="Open Sans" w:cs="Open Sans"/>
        </w:rPr>
      </w:pPr>
      <w:r>
        <w:rPr>
          <w:rFonts w:ascii="Open Sans" w:eastAsia="Open Sans" w:hAnsi="Open Sans" w:cs="Open Sans"/>
        </w:rPr>
        <w:t>The Contractor is obliged to observe the statutory provisions on data protection and not to disclose the information obtained from the Client's area to third parties or expose it to their access. Documents and data must be secured against unauthorized acce</w:t>
      </w:r>
      <w:r>
        <w:rPr>
          <w:rFonts w:ascii="Open Sans" w:eastAsia="Open Sans" w:hAnsi="Open Sans" w:cs="Open Sans"/>
        </w:rPr>
        <w:t>ss, considering the state of the art. The client shall demonstrate compliance with the obligations set out in this contract by suitable means.</w:t>
      </w:r>
    </w:p>
    <w:p w:rsidR="00C245BE" w:rsidRDefault="00C245BE">
      <w:pPr>
        <w:spacing w:after="0" w:line="240" w:lineRule="auto"/>
        <w:ind w:left="720"/>
        <w:jc w:val="both"/>
        <w:rPr>
          <w:rFonts w:ascii="Open Sans" w:eastAsia="Open Sans" w:hAnsi="Open Sans" w:cs="Open Sans"/>
        </w:rPr>
      </w:pPr>
    </w:p>
    <w:p w:rsidR="00C245BE" w:rsidRDefault="00A06E1C">
      <w:pPr>
        <w:numPr>
          <w:ilvl w:val="1"/>
          <w:numId w:val="9"/>
        </w:numPr>
        <w:spacing w:after="0" w:line="240" w:lineRule="auto"/>
        <w:ind w:left="720" w:hanging="709"/>
        <w:jc w:val="both"/>
        <w:rPr>
          <w:rFonts w:ascii="Open Sans" w:eastAsia="Open Sans" w:hAnsi="Open Sans" w:cs="Open Sans"/>
        </w:rPr>
      </w:pPr>
      <w:r>
        <w:rPr>
          <w:rFonts w:ascii="Open Sans" w:eastAsia="Open Sans" w:hAnsi="Open Sans" w:cs="Open Sans"/>
        </w:rPr>
        <w:t>Furthermore, the Contractor shall oblige all persons entrusted by it with the processing and fulfillment of this</w:t>
      </w:r>
      <w:r>
        <w:rPr>
          <w:rFonts w:ascii="Open Sans" w:eastAsia="Open Sans" w:hAnsi="Open Sans" w:cs="Open Sans"/>
        </w:rPr>
        <w:t xml:space="preserve"> contract (hereinafter referred to as "employees") to maintain confidentiality in writing (Art. 28 para. 3 lit. b GDPR) and ensure compliance with this obligation with due care. At the Client's request, the Contractor shall provide the Client with evidence</w:t>
      </w:r>
      <w:r>
        <w:rPr>
          <w:rFonts w:ascii="Open Sans" w:eastAsia="Open Sans" w:hAnsi="Open Sans" w:cs="Open Sans"/>
        </w:rPr>
        <w:t xml:space="preserve"> of the employees' obligation in writing or in electronic form.</w:t>
      </w:r>
    </w:p>
    <w:p w:rsidR="00C245BE" w:rsidRDefault="00C245BE">
      <w:pPr>
        <w:pBdr>
          <w:top w:val="nil"/>
          <w:left w:val="nil"/>
          <w:bottom w:val="nil"/>
          <w:right w:val="nil"/>
          <w:between w:val="nil"/>
        </w:pBdr>
        <w:spacing w:after="0" w:line="240" w:lineRule="auto"/>
        <w:ind w:left="720"/>
        <w:rPr>
          <w:rFonts w:ascii="Open Sans" w:eastAsia="Open Sans" w:hAnsi="Open Sans" w:cs="Open Sans"/>
          <w:color w:val="000000"/>
        </w:rPr>
      </w:pPr>
    </w:p>
    <w:p w:rsidR="00C245BE" w:rsidRDefault="00A06E1C">
      <w:pPr>
        <w:numPr>
          <w:ilvl w:val="1"/>
          <w:numId w:val="9"/>
        </w:numPr>
        <w:spacing w:after="0" w:line="240" w:lineRule="auto"/>
        <w:ind w:left="720" w:hanging="709"/>
        <w:jc w:val="both"/>
        <w:rPr>
          <w:rFonts w:ascii="Open Sans" w:eastAsia="Open Sans" w:hAnsi="Open Sans" w:cs="Open Sans"/>
        </w:rPr>
      </w:pPr>
      <w:r>
        <w:rPr>
          <w:rFonts w:ascii="Open Sans" w:eastAsia="Open Sans" w:hAnsi="Open Sans" w:cs="Open Sans"/>
        </w:rPr>
        <w:t xml:space="preserve">The Contractor shall design its internal organization in such a way that it meets the special requirements of data protection. The Contractor undertakes to take all appropriate technical and </w:t>
      </w:r>
      <w:r>
        <w:rPr>
          <w:rFonts w:ascii="Open Sans" w:eastAsia="Open Sans" w:hAnsi="Open Sans" w:cs="Open Sans"/>
        </w:rPr>
        <w:t>organizational measures to adequately protect the Client Data by Art. 32 GDPR, in particular, the measures listed in Annex 1 to this Agreement, and to maintain these for the duration of the processing of the Client Data.</w:t>
      </w:r>
    </w:p>
    <w:p w:rsidR="00C245BE" w:rsidRDefault="00C245BE">
      <w:pPr>
        <w:pBdr>
          <w:top w:val="nil"/>
          <w:left w:val="nil"/>
          <w:bottom w:val="nil"/>
          <w:right w:val="nil"/>
          <w:between w:val="nil"/>
        </w:pBdr>
        <w:spacing w:after="0" w:line="240" w:lineRule="auto"/>
        <w:ind w:left="720"/>
        <w:rPr>
          <w:rFonts w:ascii="Open Sans" w:eastAsia="Open Sans" w:hAnsi="Open Sans" w:cs="Open Sans"/>
          <w:color w:val="000000"/>
        </w:rPr>
      </w:pPr>
    </w:p>
    <w:p w:rsidR="00C245BE" w:rsidRDefault="00A06E1C">
      <w:pPr>
        <w:numPr>
          <w:ilvl w:val="1"/>
          <w:numId w:val="9"/>
        </w:numPr>
        <w:spacing w:after="0" w:line="240" w:lineRule="auto"/>
        <w:ind w:left="720" w:hanging="709"/>
        <w:jc w:val="both"/>
        <w:rPr>
          <w:rFonts w:ascii="Open Sans" w:eastAsia="Open Sans" w:hAnsi="Open Sans" w:cs="Open Sans"/>
        </w:rPr>
      </w:pPr>
      <w:r>
        <w:rPr>
          <w:rFonts w:ascii="Open Sans" w:eastAsia="Open Sans" w:hAnsi="Open Sans" w:cs="Open Sans"/>
        </w:rPr>
        <w:t xml:space="preserve">The Contractor reserves the right </w:t>
      </w:r>
      <w:r>
        <w:rPr>
          <w:rFonts w:ascii="Open Sans" w:eastAsia="Open Sans" w:hAnsi="Open Sans" w:cs="Open Sans"/>
        </w:rPr>
        <w:t>to change the technical and organizational measures taken, ensuring that the contractually agreed level of protection is not undercut. The Contractor shall inform the Client immediately in writing if it has reason to believe that the measures by Annex 1 ar</w:t>
      </w:r>
      <w:r>
        <w:rPr>
          <w:rFonts w:ascii="Open Sans" w:eastAsia="Open Sans" w:hAnsi="Open Sans" w:cs="Open Sans"/>
        </w:rPr>
        <w:t>e no longer sufficient and shall consult with the Client regarding further technical and organizational measures.</w:t>
      </w:r>
    </w:p>
    <w:p w:rsidR="00C245BE" w:rsidRDefault="00C245BE">
      <w:pPr>
        <w:pBdr>
          <w:top w:val="nil"/>
          <w:left w:val="nil"/>
          <w:bottom w:val="nil"/>
          <w:right w:val="nil"/>
          <w:between w:val="nil"/>
        </w:pBdr>
        <w:spacing w:after="0" w:line="240" w:lineRule="auto"/>
        <w:ind w:left="720"/>
        <w:rPr>
          <w:rFonts w:ascii="Open Sans" w:eastAsia="Open Sans" w:hAnsi="Open Sans" w:cs="Open Sans"/>
          <w:color w:val="000000"/>
        </w:rPr>
      </w:pPr>
    </w:p>
    <w:p w:rsidR="00C245BE" w:rsidRDefault="00A06E1C">
      <w:pPr>
        <w:numPr>
          <w:ilvl w:val="1"/>
          <w:numId w:val="9"/>
        </w:numPr>
        <w:spacing w:after="0" w:line="240" w:lineRule="auto"/>
        <w:ind w:left="720" w:hanging="709"/>
        <w:jc w:val="both"/>
        <w:rPr>
          <w:rFonts w:ascii="Open Sans" w:eastAsia="Open Sans" w:hAnsi="Open Sans" w:cs="Open Sans"/>
        </w:rPr>
      </w:pPr>
      <w:r>
        <w:rPr>
          <w:rFonts w:ascii="Open Sans" w:eastAsia="Open Sans" w:hAnsi="Open Sans" w:cs="Open Sans"/>
        </w:rPr>
        <w:t>At the request of the Client, the Contractor shall provide the Client with suitable evidence of compliance with the technical and organizatio</w:t>
      </w:r>
      <w:r>
        <w:rPr>
          <w:rFonts w:ascii="Open Sans" w:eastAsia="Open Sans" w:hAnsi="Open Sans" w:cs="Open Sans"/>
        </w:rPr>
        <w:t>nal measures specified in Annex 1.</w:t>
      </w:r>
    </w:p>
    <w:p w:rsidR="00C245BE" w:rsidRDefault="00C245BE">
      <w:pPr>
        <w:spacing w:after="0" w:line="240" w:lineRule="auto"/>
        <w:ind w:left="709" w:hanging="709"/>
        <w:rPr>
          <w:rFonts w:ascii="Open Sans" w:eastAsia="Open Sans" w:hAnsi="Open Sans" w:cs="Open Sans"/>
        </w:rPr>
      </w:pPr>
    </w:p>
    <w:p w:rsidR="00C245BE" w:rsidRDefault="00A06E1C">
      <w:pPr>
        <w:keepNext/>
        <w:keepLines/>
        <w:spacing w:before="200" w:after="0" w:line="240" w:lineRule="auto"/>
        <w:rPr>
          <w:rFonts w:ascii="Open Sans" w:eastAsia="Open Sans" w:hAnsi="Open Sans" w:cs="Open Sans"/>
          <w:b/>
          <w:color w:val="003D99"/>
        </w:rPr>
      </w:pPr>
      <w:r>
        <w:rPr>
          <w:rFonts w:ascii="Open Sans" w:eastAsia="Open Sans" w:hAnsi="Open Sans" w:cs="Open Sans"/>
          <w:b/>
          <w:color w:val="003D99"/>
        </w:rPr>
        <w:t>§ 5</w:t>
      </w:r>
      <w:r>
        <w:rPr>
          <w:rFonts w:ascii="Open Sans" w:eastAsia="Open Sans" w:hAnsi="Open Sans" w:cs="Open Sans"/>
          <w:b/>
          <w:color w:val="003D99"/>
        </w:rPr>
        <w:br/>
        <w:t>Obligations of the contractor</w:t>
      </w:r>
      <w:r>
        <w:rPr>
          <w:rFonts w:ascii="Open Sans" w:eastAsia="Open Sans" w:hAnsi="Open Sans" w:cs="Open Sans"/>
          <w:b/>
          <w:color w:val="003D99"/>
        </w:rPr>
        <w:br/>
        <w:t>(on Art. 28 para. 3 lit. b, e, f GDPR)</w:t>
      </w:r>
    </w:p>
    <w:p w:rsidR="00C245BE" w:rsidRDefault="00C245BE">
      <w:pPr>
        <w:spacing w:after="0" w:line="240" w:lineRule="auto"/>
        <w:ind w:left="709" w:hanging="709"/>
        <w:jc w:val="center"/>
        <w:rPr>
          <w:rFonts w:ascii="Open Sans" w:eastAsia="Open Sans" w:hAnsi="Open Sans" w:cs="Open Sans"/>
          <w:b/>
        </w:rPr>
      </w:pPr>
    </w:p>
    <w:p w:rsidR="00C245BE" w:rsidRDefault="00C245BE">
      <w:pPr>
        <w:spacing w:after="0" w:line="240" w:lineRule="auto"/>
        <w:ind w:left="709" w:hanging="709"/>
        <w:jc w:val="both"/>
        <w:rPr>
          <w:rFonts w:ascii="Open Sans" w:eastAsia="Open Sans" w:hAnsi="Open Sans" w:cs="Open Sans"/>
        </w:rPr>
      </w:pPr>
    </w:p>
    <w:p w:rsidR="00C245BE" w:rsidRDefault="00A06E1C">
      <w:pPr>
        <w:numPr>
          <w:ilvl w:val="1"/>
          <w:numId w:val="8"/>
        </w:numPr>
        <w:spacing w:after="0" w:line="240" w:lineRule="auto"/>
        <w:ind w:left="709" w:hanging="567"/>
        <w:jc w:val="both"/>
        <w:rPr>
          <w:rFonts w:ascii="Open Sans" w:eastAsia="Open Sans" w:hAnsi="Open Sans" w:cs="Open Sans"/>
        </w:rPr>
      </w:pPr>
      <w:r>
        <w:rPr>
          <w:rFonts w:ascii="Open Sans" w:eastAsia="Open Sans" w:hAnsi="Open Sans" w:cs="Open Sans"/>
        </w:rPr>
        <w:t>In the event of disruptions, suspected data protection violations or breaches of contractual obligations of the Contractor, suspected security-related incidents or other irregularities in the processing of the Client Data by the Contractor, persons employe</w:t>
      </w:r>
      <w:r>
        <w:rPr>
          <w:rFonts w:ascii="Open Sans" w:eastAsia="Open Sans" w:hAnsi="Open Sans" w:cs="Open Sans"/>
        </w:rPr>
        <w:t xml:space="preserve">d by the Contractor within the scope of the order or by third parties, the Contractor shall inform the Client immediately, but at the latest within 48 hours of becoming aware of this, in electronic form. The date of receipt by the Client shall be decisive </w:t>
      </w:r>
      <w:r>
        <w:rPr>
          <w:rFonts w:ascii="Open Sans" w:eastAsia="Open Sans" w:hAnsi="Open Sans" w:cs="Open Sans"/>
        </w:rPr>
        <w:t>for compliance with the deadline. The same applies to contractor audits by the data protection supervisory authority. The notifications shall contain at least the information specified in Art. 33 (3) GDPR.</w:t>
      </w:r>
    </w:p>
    <w:p w:rsidR="00C245BE" w:rsidRDefault="00C245BE">
      <w:pPr>
        <w:spacing w:after="0" w:line="240" w:lineRule="auto"/>
        <w:ind w:left="709"/>
        <w:jc w:val="both"/>
        <w:rPr>
          <w:rFonts w:ascii="Open Sans" w:eastAsia="Open Sans" w:hAnsi="Open Sans" w:cs="Open Sans"/>
        </w:rPr>
      </w:pPr>
    </w:p>
    <w:p w:rsidR="00C245BE" w:rsidRDefault="00A06E1C">
      <w:pPr>
        <w:numPr>
          <w:ilvl w:val="1"/>
          <w:numId w:val="8"/>
        </w:numPr>
        <w:spacing w:after="0" w:line="240" w:lineRule="auto"/>
        <w:ind w:left="709" w:hanging="567"/>
        <w:jc w:val="both"/>
        <w:rPr>
          <w:rFonts w:ascii="Open Sans" w:eastAsia="Open Sans" w:hAnsi="Open Sans" w:cs="Open Sans"/>
        </w:rPr>
      </w:pPr>
      <w:r>
        <w:rPr>
          <w:rFonts w:ascii="Open Sans" w:eastAsia="Open Sans" w:hAnsi="Open Sans" w:cs="Open Sans"/>
        </w:rPr>
        <w:t>In the aforementioned cases, the Contractor shall</w:t>
      </w:r>
      <w:r>
        <w:rPr>
          <w:rFonts w:ascii="Open Sans" w:eastAsia="Open Sans" w:hAnsi="Open Sans" w:cs="Open Sans"/>
        </w:rPr>
        <w:t xml:space="preserve"> support the Client in fulfilling its relevant clarification, remedial and information measures within the reasonable scope. In particular, the Contractor shall immediately take the necessary measures to secure the data and mitigate possible adverse conseq</w:t>
      </w:r>
      <w:r>
        <w:rPr>
          <w:rFonts w:ascii="Open Sans" w:eastAsia="Open Sans" w:hAnsi="Open Sans" w:cs="Open Sans"/>
        </w:rPr>
        <w:t>uences for the data subjects, inform the Client thereof, and request further instructions from the Client.</w:t>
      </w:r>
    </w:p>
    <w:p w:rsidR="00C245BE" w:rsidRDefault="00C245BE">
      <w:pPr>
        <w:pBdr>
          <w:top w:val="nil"/>
          <w:left w:val="nil"/>
          <w:bottom w:val="nil"/>
          <w:right w:val="nil"/>
          <w:between w:val="nil"/>
        </w:pBdr>
        <w:spacing w:after="0" w:line="240" w:lineRule="auto"/>
        <w:ind w:left="720"/>
        <w:jc w:val="both"/>
        <w:rPr>
          <w:rFonts w:ascii="Open Sans" w:eastAsia="Open Sans" w:hAnsi="Open Sans" w:cs="Open Sans"/>
          <w:color w:val="000000"/>
        </w:rPr>
      </w:pPr>
    </w:p>
    <w:p w:rsidR="00C245BE" w:rsidRDefault="00A06E1C">
      <w:pPr>
        <w:numPr>
          <w:ilvl w:val="1"/>
          <w:numId w:val="8"/>
        </w:numPr>
        <w:spacing w:after="0" w:line="240" w:lineRule="auto"/>
        <w:ind w:left="709" w:hanging="567"/>
        <w:jc w:val="both"/>
        <w:rPr>
          <w:rFonts w:ascii="Open Sans" w:eastAsia="Open Sans" w:hAnsi="Open Sans" w:cs="Open Sans"/>
        </w:rPr>
      </w:pPr>
      <w:r>
        <w:rPr>
          <w:rFonts w:ascii="Open Sans" w:eastAsia="Open Sans" w:hAnsi="Open Sans" w:cs="Open Sans"/>
        </w:rPr>
        <w:t>The Contractor undertakes to provide the Client with all information and evidence required to inspect by § 7 of this contract within a reasonable pe</w:t>
      </w:r>
      <w:r>
        <w:rPr>
          <w:rFonts w:ascii="Open Sans" w:eastAsia="Open Sans" w:hAnsi="Open Sans" w:cs="Open Sans"/>
        </w:rPr>
        <w:t>riod upon the Client's verbal or written request. Furthermore, at the Client's request, the Contractor shall provide the Client with a comprehensive and up-to-date data protection and security concept for order processing and authorized persons.</w:t>
      </w:r>
    </w:p>
    <w:p w:rsidR="00C245BE" w:rsidRDefault="00C245BE">
      <w:pPr>
        <w:pBdr>
          <w:top w:val="nil"/>
          <w:left w:val="nil"/>
          <w:bottom w:val="nil"/>
          <w:right w:val="nil"/>
          <w:between w:val="nil"/>
        </w:pBdr>
        <w:spacing w:after="0" w:line="240" w:lineRule="auto"/>
        <w:ind w:left="720"/>
        <w:jc w:val="both"/>
        <w:rPr>
          <w:rFonts w:ascii="Open Sans" w:eastAsia="Open Sans" w:hAnsi="Open Sans" w:cs="Open Sans"/>
          <w:color w:val="000000"/>
        </w:rPr>
      </w:pPr>
    </w:p>
    <w:p w:rsidR="00C245BE" w:rsidRDefault="00A06E1C">
      <w:pPr>
        <w:numPr>
          <w:ilvl w:val="1"/>
          <w:numId w:val="8"/>
        </w:numPr>
        <w:spacing w:after="0" w:line="240" w:lineRule="auto"/>
        <w:ind w:left="709" w:hanging="567"/>
        <w:jc w:val="both"/>
        <w:rPr>
          <w:rFonts w:ascii="Open Sans" w:eastAsia="Open Sans" w:hAnsi="Open Sans" w:cs="Open Sans"/>
        </w:rPr>
      </w:pPr>
      <w:r>
        <w:rPr>
          <w:rFonts w:ascii="Open Sans" w:eastAsia="Open Sans" w:hAnsi="Open Sans" w:cs="Open Sans"/>
        </w:rPr>
        <w:t>At the cl</w:t>
      </w:r>
      <w:r>
        <w:rPr>
          <w:rFonts w:ascii="Open Sans" w:eastAsia="Open Sans" w:hAnsi="Open Sans" w:cs="Open Sans"/>
        </w:rPr>
        <w:t>ient's request, the contractor must keep a list of all categories of processing activities carried out on behalf of the client by Art. 30 para. 2 GDPR. The list must be made available to the client upon request.</w:t>
      </w:r>
    </w:p>
    <w:p w:rsidR="00C245BE" w:rsidRDefault="00C245BE">
      <w:pPr>
        <w:pBdr>
          <w:top w:val="nil"/>
          <w:left w:val="nil"/>
          <w:bottom w:val="nil"/>
          <w:right w:val="nil"/>
          <w:between w:val="nil"/>
        </w:pBdr>
        <w:spacing w:after="0" w:line="240" w:lineRule="auto"/>
        <w:ind w:left="720"/>
        <w:jc w:val="both"/>
        <w:rPr>
          <w:rFonts w:ascii="Open Sans" w:eastAsia="Open Sans" w:hAnsi="Open Sans" w:cs="Open Sans"/>
          <w:color w:val="000000"/>
        </w:rPr>
      </w:pPr>
    </w:p>
    <w:p w:rsidR="00C245BE" w:rsidRDefault="00A06E1C">
      <w:pPr>
        <w:numPr>
          <w:ilvl w:val="1"/>
          <w:numId w:val="8"/>
        </w:numPr>
        <w:spacing w:after="0" w:line="240" w:lineRule="auto"/>
        <w:ind w:left="709" w:hanging="567"/>
        <w:jc w:val="both"/>
        <w:rPr>
          <w:rFonts w:ascii="Open Sans" w:eastAsia="Open Sans" w:hAnsi="Open Sans" w:cs="Open Sans"/>
        </w:rPr>
      </w:pPr>
      <w:r>
        <w:rPr>
          <w:rFonts w:ascii="Open Sans" w:eastAsia="Open Sans" w:hAnsi="Open Sans" w:cs="Open Sans"/>
        </w:rPr>
        <w:t>The contractor must support the client in p</w:t>
      </w:r>
      <w:r>
        <w:rPr>
          <w:rFonts w:ascii="Open Sans" w:eastAsia="Open Sans" w:hAnsi="Open Sans" w:cs="Open Sans"/>
        </w:rPr>
        <w:t>reparing a data protection impact assessment by Art. 35 GDPR and any prior consultation with the supervisory authority by Art. 36 GDPR.</w:t>
      </w:r>
    </w:p>
    <w:p w:rsidR="00C245BE" w:rsidRDefault="00C245BE">
      <w:pPr>
        <w:pBdr>
          <w:top w:val="nil"/>
          <w:left w:val="nil"/>
          <w:bottom w:val="nil"/>
          <w:right w:val="nil"/>
          <w:between w:val="nil"/>
        </w:pBdr>
        <w:spacing w:after="0" w:line="240" w:lineRule="auto"/>
        <w:ind w:left="720"/>
        <w:rPr>
          <w:rFonts w:ascii="Open Sans" w:eastAsia="Open Sans" w:hAnsi="Open Sans" w:cs="Open Sans"/>
          <w:color w:val="000000"/>
        </w:rPr>
      </w:pPr>
    </w:p>
    <w:p w:rsidR="00C245BE" w:rsidRDefault="00A06E1C">
      <w:pPr>
        <w:numPr>
          <w:ilvl w:val="1"/>
          <w:numId w:val="8"/>
        </w:numPr>
        <w:spacing w:after="0" w:line="240" w:lineRule="auto"/>
        <w:ind w:left="709" w:hanging="567"/>
        <w:jc w:val="both"/>
        <w:rPr>
          <w:rFonts w:ascii="Open Sans" w:eastAsia="Open Sans" w:hAnsi="Open Sans" w:cs="Open Sans"/>
        </w:rPr>
      </w:pPr>
      <w:r>
        <w:rPr>
          <w:rFonts w:ascii="Open Sans" w:eastAsia="Open Sans" w:hAnsi="Open Sans" w:cs="Open Sans"/>
        </w:rPr>
        <w:t>The Contractor confirms that it has appointed a data protection officer insofar as there is a legal obligation to do so. The full contact details of the data protection officer shall be provided to the Client in text form upon conclusion of the contract. A</w:t>
      </w:r>
      <w:r>
        <w:rPr>
          <w:rFonts w:ascii="Open Sans" w:eastAsia="Open Sans" w:hAnsi="Open Sans" w:cs="Open Sans"/>
        </w:rPr>
        <w:t xml:space="preserve"> change in the person of the company data protection officer/contact person for data protection must be communicated to the client immediately in writing.</w:t>
      </w:r>
    </w:p>
    <w:p w:rsidR="00C245BE" w:rsidRDefault="00C245BE">
      <w:pPr>
        <w:pBdr>
          <w:top w:val="nil"/>
          <w:left w:val="nil"/>
          <w:bottom w:val="nil"/>
          <w:right w:val="nil"/>
          <w:between w:val="nil"/>
        </w:pBdr>
        <w:spacing w:after="0" w:line="240" w:lineRule="auto"/>
        <w:ind w:left="720"/>
        <w:rPr>
          <w:rFonts w:ascii="Open Sans" w:eastAsia="Open Sans" w:hAnsi="Open Sans" w:cs="Open Sans"/>
          <w:color w:val="000000"/>
        </w:rPr>
      </w:pPr>
    </w:p>
    <w:p w:rsidR="00C245BE" w:rsidRDefault="00A06E1C">
      <w:pPr>
        <w:numPr>
          <w:ilvl w:val="1"/>
          <w:numId w:val="8"/>
        </w:numPr>
        <w:spacing w:after="0" w:line="240" w:lineRule="auto"/>
        <w:ind w:left="709" w:hanging="567"/>
        <w:jc w:val="both"/>
        <w:rPr>
          <w:rFonts w:ascii="Open Sans" w:eastAsia="Open Sans" w:hAnsi="Open Sans" w:cs="Open Sans"/>
        </w:rPr>
      </w:pPr>
      <w:r>
        <w:rPr>
          <w:rFonts w:ascii="Open Sans" w:eastAsia="Open Sans" w:hAnsi="Open Sans" w:cs="Open Sans"/>
        </w:rPr>
        <w:t>Should the Client Data be jeopardized at the Contractor by seizure or confiscation, by insolvency or</w:t>
      </w:r>
      <w:r>
        <w:rPr>
          <w:rFonts w:ascii="Open Sans" w:eastAsia="Open Sans" w:hAnsi="Open Sans" w:cs="Open Sans"/>
        </w:rPr>
        <w:t xml:space="preserve"> composition proceedings or by other events or measures of third parties, the Contractor shall inform the Client of this immediately, unless it is prohibited from doing so by court or official order. In this context, the Contractor shall immediately inform</w:t>
      </w:r>
      <w:r>
        <w:rPr>
          <w:rFonts w:ascii="Open Sans" w:eastAsia="Open Sans" w:hAnsi="Open Sans" w:cs="Open Sans"/>
        </w:rPr>
        <w:t xml:space="preserve"> all competent bodies that the decision-making authority over the data lies exclusively with the Client as the "controller" within the meaning of the GDPR.</w:t>
      </w:r>
    </w:p>
    <w:p w:rsidR="00C245BE" w:rsidRDefault="00C245BE">
      <w:pPr>
        <w:spacing w:after="0" w:line="240" w:lineRule="auto"/>
        <w:ind w:left="502"/>
        <w:jc w:val="both"/>
        <w:rPr>
          <w:rFonts w:ascii="Open Sans" w:eastAsia="Open Sans" w:hAnsi="Open Sans" w:cs="Open Sans"/>
        </w:rPr>
      </w:pPr>
    </w:p>
    <w:p w:rsidR="00C245BE" w:rsidRDefault="00A06E1C">
      <w:pPr>
        <w:numPr>
          <w:ilvl w:val="1"/>
          <w:numId w:val="8"/>
        </w:numPr>
        <w:spacing w:after="0" w:line="240" w:lineRule="auto"/>
        <w:ind w:left="709" w:hanging="567"/>
        <w:jc w:val="both"/>
        <w:rPr>
          <w:rFonts w:ascii="Open Sans" w:eastAsia="Open Sans" w:hAnsi="Open Sans" w:cs="Open Sans"/>
        </w:rPr>
      </w:pPr>
      <w:r>
        <w:rPr>
          <w:rFonts w:ascii="Open Sans" w:eastAsia="Open Sans" w:hAnsi="Open Sans" w:cs="Open Sans"/>
        </w:rPr>
        <w:lastRenderedPageBreak/>
        <w:t xml:space="preserve">All client data is stored in a suitable form so that it can be clearly identified and not be mixed </w:t>
      </w:r>
      <w:r>
        <w:rPr>
          <w:rFonts w:ascii="Open Sans" w:eastAsia="Open Sans" w:hAnsi="Open Sans" w:cs="Open Sans"/>
        </w:rPr>
        <w:t>with other clients.</w:t>
      </w:r>
    </w:p>
    <w:p w:rsidR="00C245BE" w:rsidRDefault="00C245BE">
      <w:pPr>
        <w:spacing w:after="0" w:line="240" w:lineRule="auto"/>
        <w:ind w:left="709"/>
        <w:jc w:val="both"/>
        <w:rPr>
          <w:rFonts w:ascii="Open Sans" w:eastAsia="Open Sans" w:hAnsi="Open Sans" w:cs="Open Sans"/>
        </w:rPr>
      </w:pPr>
    </w:p>
    <w:p w:rsidR="00C245BE" w:rsidRDefault="00C245BE">
      <w:pPr>
        <w:spacing w:after="0" w:line="240" w:lineRule="auto"/>
        <w:ind w:left="142"/>
        <w:jc w:val="both"/>
        <w:rPr>
          <w:rFonts w:ascii="Open Sans" w:eastAsia="Open Sans" w:hAnsi="Open Sans" w:cs="Open Sans"/>
        </w:rPr>
      </w:pPr>
    </w:p>
    <w:p w:rsidR="00C245BE" w:rsidRDefault="00A06E1C">
      <w:pPr>
        <w:keepNext/>
        <w:keepLines/>
        <w:spacing w:before="200" w:after="0" w:line="240" w:lineRule="auto"/>
        <w:rPr>
          <w:rFonts w:ascii="Open Sans" w:eastAsia="Open Sans" w:hAnsi="Open Sans" w:cs="Open Sans"/>
          <w:b/>
          <w:color w:val="003D99"/>
        </w:rPr>
      </w:pPr>
      <w:r>
        <w:rPr>
          <w:rFonts w:ascii="Open Sans" w:eastAsia="Open Sans" w:hAnsi="Open Sans" w:cs="Open Sans"/>
          <w:b/>
          <w:color w:val="003D99"/>
        </w:rPr>
        <w:t>§ 6</w:t>
      </w:r>
      <w:r>
        <w:rPr>
          <w:rFonts w:ascii="Open Sans" w:eastAsia="Open Sans" w:hAnsi="Open Sans" w:cs="Open Sans"/>
          <w:b/>
          <w:color w:val="003D99"/>
        </w:rPr>
        <w:br/>
        <w:t>Subcontracting relationships</w:t>
      </w:r>
      <w:r>
        <w:rPr>
          <w:rFonts w:ascii="Open Sans" w:eastAsia="Open Sans" w:hAnsi="Open Sans" w:cs="Open Sans"/>
          <w:b/>
          <w:color w:val="003D99"/>
        </w:rPr>
        <w:br/>
        <w:t>(on Art. 28 para. 2, para. 3 lit. d, para. 4 GDPR)</w:t>
      </w:r>
    </w:p>
    <w:p w:rsidR="00C245BE" w:rsidRDefault="00C245BE">
      <w:pPr>
        <w:spacing w:after="0" w:line="240" w:lineRule="auto"/>
        <w:jc w:val="both"/>
        <w:rPr>
          <w:rFonts w:ascii="Open Sans" w:eastAsia="Open Sans" w:hAnsi="Open Sans" w:cs="Open Sans"/>
        </w:rPr>
      </w:pPr>
    </w:p>
    <w:p w:rsidR="00C245BE" w:rsidRDefault="00A06E1C">
      <w:pPr>
        <w:numPr>
          <w:ilvl w:val="1"/>
          <w:numId w:val="12"/>
        </w:numPr>
        <w:spacing w:after="0" w:line="240" w:lineRule="auto"/>
        <w:jc w:val="both"/>
      </w:pPr>
      <w:r>
        <w:rPr>
          <w:rFonts w:ascii="Open Sans" w:eastAsia="Open Sans" w:hAnsi="Open Sans" w:cs="Open Sans"/>
        </w:rPr>
        <w:t>Within the scope of its contractual obligations, the Contractor is not authorized to establish subcontracting relationships with subcontractors ("</w:t>
      </w:r>
      <w:r>
        <w:rPr>
          <w:rFonts w:ascii="Open Sans" w:eastAsia="Open Sans" w:hAnsi="Open Sans" w:cs="Open Sans"/>
          <w:b/>
        </w:rPr>
        <w:t>subcontractor relationship</w:t>
      </w:r>
      <w:r>
        <w:rPr>
          <w:rFonts w:ascii="Open Sans" w:eastAsia="Open Sans" w:hAnsi="Open Sans" w:cs="Open Sans"/>
        </w:rPr>
        <w:t>"). Exceptions are only permitted with the prior express written consent of the Client in individual cases; this is deemed to have been granted for the subcontractors named in Annex 2. In any case, the Contractor shall ensure that</w:t>
      </w:r>
      <w:r>
        <w:rPr>
          <w:rFonts w:ascii="Open Sans" w:eastAsia="Open Sans" w:hAnsi="Open Sans" w:cs="Open Sans"/>
        </w:rPr>
        <w:t xml:space="preserve"> the provisions agreed in this contract also apply to the subcontractors commissioned by it, whereby the Client shall be granted all control rights vis-à-vis the subcontractor by this contract. Subcontractor relationships with third parties outside the Eur</w:t>
      </w:r>
      <w:r>
        <w:rPr>
          <w:rFonts w:ascii="Open Sans" w:eastAsia="Open Sans" w:hAnsi="Open Sans" w:cs="Open Sans"/>
        </w:rPr>
        <w:t>opean Economic Area are not permitted.</w:t>
      </w:r>
    </w:p>
    <w:p w:rsidR="00C245BE" w:rsidRDefault="00C245BE">
      <w:pPr>
        <w:spacing w:after="0" w:line="240" w:lineRule="auto"/>
        <w:ind w:left="502"/>
        <w:jc w:val="both"/>
        <w:rPr>
          <w:rFonts w:ascii="Open Sans" w:eastAsia="Open Sans" w:hAnsi="Open Sans" w:cs="Open Sans"/>
        </w:rPr>
      </w:pPr>
    </w:p>
    <w:p w:rsidR="00C245BE" w:rsidRDefault="00A06E1C">
      <w:pPr>
        <w:numPr>
          <w:ilvl w:val="1"/>
          <w:numId w:val="12"/>
        </w:numPr>
        <w:spacing w:after="0" w:line="240" w:lineRule="auto"/>
        <w:jc w:val="both"/>
        <w:rPr>
          <w:rFonts w:ascii="Open Sans" w:eastAsia="Open Sans" w:hAnsi="Open Sans" w:cs="Open Sans"/>
        </w:rPr>
      </w:pPr>
      <w:r>
        <w:rPr>
          <w:rFonts w:ascii="Open Sans" w:eastAsia="Open Sans" w:hAnsi="Open Sans" w:cs="Open Sans"/>
        </w:rPr>
        <w:t>A subcontractor relationship within the meaning of these provisions does not exist if the contractor commissions third parties with services that are to be regarded as purely ancillary services. These include, for example, postal, transportation and shippi</w:t>
      </w:r>
      <w:r>
        <w:rPr>
          <w:rFonts w:ascii="Open Sans" w:eastAsia="Open Sans" w:hAnsi="Open Sans" w:cs="Open Sans"/>
        </w:rPr>
        <w:t>ng services, cleaning services, security services, and telecommunications services with no specific connection to services that the contractor provides for the client, as well as other measures to ensure the confidentiality, availability, integrity and res</w:t>
      </w:r>
      <w:r>
        <w:rPr>
          <w:rFonts w:ascii="Open Sans" w:eastAsia="Open Sans" w:hAnsi="Open Sans" w:cs="Open Sans"/>
        </w:rPr>
        <w:t>ilience of the hardware and software of data processing systems. The Contractor's obligation to ensure data protection and security compliance in these cases remains unaffected.</w:t>
      </w:r>
    </w:p>
    <w:p w:rsidR="00C245BE" w:rsidRDefault="00C245BE">
      <w:pPr>
        <w:spacing w:after="0" w:line="240" w:lineRule="auto"/>
        <w:ind w:left="502"/>
        <w:jc w:val="both"/>
        <w:rPr>
          <w:rFonts w:ascii="Open Sans" w:eastAsia="Open Sans" w:hAnsi="Open Sans" w:cs="Open Sans"/>
        </w:rPr>
      </w:pPr>
    </w:p>
    <w:p w:rsidR="00C245BE" w:rsidRDefault="00C245BE">
      <w:pPr>
        <w:spacing w:after="0" w:line="240" w:lineRule="auto"/>
        <w:ind w:left="502"/>
        <w:jc w:val="both"/>
        <w:rPr>
          <w:rFonts w:ascii="Open Sans" w:eastAsia="Open Sans" w:hAnsi="Open Sans" w:cs="Open Sans"/>
        </w:rPr>
      </w:pPr>
    </w:p>
    <w:p w:rsidR="00C245BE" w:rsidRDefault="00A06E1C">
      <w:pPr>
        <w:keepNext/>
        <w:keepLines/>
        <w:spacing w:before="200" w:after="0" w:line="240" w:lineRule="auto"/>
        <w:rPr>
          <w:rFonts w:ascii="Open Sans" w:eastAsia="Open Sans" w:hAnsi="Open Sans" w:cs="Open Sans"/>
          <w:b/>
          <w:color w:val="003D99"/>
        </w:rPr>
      </w:pPr>
      <w:r>
        <w:rPr>
          <w:rFonts w:ascii="Open Sans" w:eastAsia="Open Sans" w:hAnsi="Open Sans" w:cs="Open Sans"/>
          <w:b/>
          <w:color w:val="003D99"/>
        </w:rPr>
        <w:t>§ 7</w:t>
      </w:r>
      <w:r>
        <w:rPr>
          <w:rFonts w:ascii="Open Sans" w:eastAsia="Open Sans" w:hAnsi="Open Sans" w:cs="Open Sans"/>
          <w:b/>
          <w:color w:val="003D99"/>
        </w:rPr>
        <w:br/>
        <w:t xml:space="preserve">Control rights of the client, toleration and cooperation obligations of </w:t>
      </w:r>
      <w:r>
        <w:rPr>
          <w:rFonts w:ascii="Open Sans" w:eastAsia="Open Sans" w:hAnsi="Open Sans" w:cs="Open Sans"/>
          <w:b/>
          <w:color w:val="003D99"/>
        </w:rPr>
        <w:t>the contractor</w:t>
      </w:r>
      <w:r>
        <w:rPr>
          <w:rFonts w:ascii="Open Sans" w:eastAsia="Open Sans" w:hAnsi="Open Sans" w:cs="Open Sans"/>
          <w:b/>
          <w:color w:val="003D99"/>
        </w:rPr>
        <w:br/>
        <w:t>(on Art. 28 para. 3 lit. h GDPR)</w:t>
      </w:r>
    </w:p>
    <w:p w:rsidR="00C245BE" w:rsidRDefault="00C245BE">
      <w:pPr>
        <w:spacing w:after="0" w:line="240" w:lineRule="auto"/>
        <w:jc w:val="both"/>
        <w:rPr>
          <w:rFonts w:ascii="Open Sans" w:eastAsia="Open Sans" w:hAnsi="Open Sans" w:cs="Open Sans"/>
        </w:rPr>
      </w:pPr>
    </w:p>
    <w:p w:rsidR="00C245BE" w:rsidRDefault="00A06E1C">
      <w:pPr>
        <w:numPr>
          <w:ilvl w:val="1"/>
          <w:numId w:val="17"/>
        </w:numPr>
        <w:spacing w:after="0" w:line="240" w:lineRule="auto"/>
        <w:ind w:hanging="578"/>
        <w:jc w:val="both"/>
        <w:rPr>
          <w:rFonts w:ascii="Open Sans" w:eastAsia="Open Sans" w:hAnsi="Open Sans" w:cs="Open Sans"/>
        </w:rPr>
      </w:pPr>
      <w:r>
        <w:rPr>
          <w:rFonts w:ascii="Open Sans" w:eastAsia="Open Sans" w:hAnsi="Open Sans" w:cs="Open Sans"/>
        </w:rPr>
        <w:t>The Client shall be entitled to verify compliance with all data protection regulations and agreements made, in particular the technical and organizational measures taken by the Contractor (see Annex 1), befo</w:t>
      </w:r>
      <w:r>
        <w:rPr>
          <w:rFonts w:ascii="Open Sans" w:eastAsia="Open Sans" w:hAnsi="Open Sans" w:cs="Open Sans"/>
        </w:rPr>
        <w:t>re the start of data processing and after that regularly. The Client may also have this inspection carried out by a third party. The Contractor may provide evidence in individual cases by complying with approved rules of conduct under Art. 40, 41 GDPR or u</w:t>
      </w:r>
      <w:r>
        <w:rPr>
          <w:rFonts w:ascii="Open Sans" w:eastAsia="Open Sans" w:hAnsi="Open Sans" w:cs="Open Sans"/>
        </w:rPr>
        <w:t>sing a suitable and approved certification procedure under Art. 42 GDPR.</w:t>
      </w:r>
    </w:p>
    <w:p w:rsidR="00C245BE" w:rsidRDefault="00C245BE">
      <w:pPr>
        <w:spacing w:after="0" w:line="240" w:lineRule="auto"/>
        <w:jc w:val="both"/>
        <w:rPr>
          <w:rFonts w:ascii="Open Sans" w:eastAsia="Open Sans" w:hAnsi="Open Sans" w:cs="Open Sans"/>
        </w:rPr>
      </w:pPr>
    </w:p>
    <w:p w:rsidR="00C245BE" w:rsidRDefault="00A06E1C">
      <w:pPr>
        <w:numPr>
          <w:ilvl w:val="1"/>
          <w:numId w:val="17"/>
        </w:numPr>
        <w:spacing w:after="0" w:line="240" w:lineRule="auto"/>
        <w:ind w:hanging="578"/>
        <w:jc w:val="both"/>
        <w:rPr>
          <w:rFonts w:ascii="Open Sans" w:eastAsia="Open Sans" w:hAnsi="Open Sans" w:cs="Open Sans"/>
        </w:rPr>
      </w:pPr>
      <w:r>
        <w:rPr>
          <w:rFonts w:ascii="Open Sans" w:eastAsia="Open Sans" w:hAnsi="Open Sans" w:cs="Open Sans"/>
        </w:rPr>
        <w:t>The Client shall only carry out inspections to the extent necessary and reasonably consider the Contractor's operating procedures. The parties shall agree on the time and type of ins</w:t>
      </w:r>
      <w:r>
        <w:rPr>
          <w:rFonts w:ascii="Open Sans" w:eastAsia="Open Sans" w:hAnsi="Open Sans" w:cs="Open Sans"/>
        </w:rPr>
        <w:t>pection in good time.</w:t>
      </w:r>
    </w:p>
    <w:p w:rsidR="00C245BE" w:rsidRDefault="00C245BE">
      <w:pPr>
        <w:pBdr>
          <w:top w:val="nil"/>
          <w:left w:val="nil"/>
          <w:bottom w:val="nil"/>
          <w:right w:val="nil"/>
          <w:between w:val="nil"/>
        </w:pBdr>
        <w:spacing w:after="0" w:line="240" w:lineRule="auto"/>
        <w:ind w:left="720"/>
        <w:jc w:val="both"/>
        <w:rPr>
          <w:rFonts w:ascii="Open Sans" w:eastAsia="Open Sans" w:hAnsi="Open Sans" w:cs="Open Sans"/>
          <w:color w:val="000000"/>
        </w:rPr>
      </w:pPr>
    </w:p>
    <w:p w:rsidR="00C245BE" w:rsidRDefault="00A06E1C">
      <w:pPr>
        <w:numPr>
          <w:ilvl w:val="1"/>
          <w:numId w:val="17"/>
        </w:numPr>
        <w:spacing w:after="0" w:line="240" w:lineRule="auto"/>
        <w:ind w:hanging="578"/>
        <w:jc w:val="both"/>
        <w:rPr>
          <w:rFonts w:ascii="Open Sans" w:eastAsia="Open Sans" w:hAnsi="Open Sans" w:cs="Open Sans"/>
        </w:rPr>
      </w:pPr>
      <w:r>
        <w:rPr>
          <w:rFonts w:ascii="Open Sans" w:eastAsia="Open Sans" w:hAnsi="Open Sans" w:cs="Open Sans"/>
        </w:rPr>
        <w:t>The Client shall document the inspection results and inform the Contractor thereof. In the event of errors or irregularities that the client discovers, particularly during the inspection of order results, it must inform the contracto</w:t>
      </w:r>
      <w:r>
        <w:rPr>
          <w:rFonts w:ascii="Open Sans" w:eastAsia="Open Sans" w:hAnsi="Open Sans" w:cs="Open Sans"/>
        </w:rPr>
        <w:t>r immediately. Suppose facts are discovered during the inspection that require changes to the ordered process flow to avoid them in the future. In that case, the client shall inform the contractor of the necessary procedural changes without delay.</w:t>
      </w:r>
    </w:p>
    <w:p w:rsidR="00C245BE" w:rsidRDefault="00C245BE">
      <w:pPr>
        <w:spacing w:after="0" w:line="240" w:lineRule="auto"/>
        <w:jc w:val="both"/>
        <w:rPr>
          <w:rFonts w:ascii="Open Sans" w:eastAsia="Open Sans" w:hAnsi="Open Sans" w:cs="Open Sans"/>
        </w:rPr>
      </w:pPr>
    </w:p>
    <w:p w:rsidR="00C245BE" w:rsidRDefault="00C245BE">
      <w:pPr>
        <w:spacing w:after="0" w:line="240" w:lineRule="auto"/>
        <w:jc w:val="both"/>
        <w:rPr>
          <w:rFonts w:ascii="Open Sans" w:eastAsia="Open Sans" w:hAnsi="Open Sans" w:cs="Open Sans"/>
        </w:rPr>
      </w:pPr>
    </w:p>
    <w:p w:rsidR="00C245BE" w:rsidRDefault="00A06E1C">
      <w:pPr>
        <w:keepNext/>
        <w:keepLines/>
        <w:spacing w:before="200" w:after="0" w:line="240" w:lineRule="auto"/>
        <w:rPr>
          <w:rFonts w:ascii="Open Sans" w:eastAsia="Open Sans" w:hAnsi="Open Sans" w:cs="Open Sans"/>
          <w:b/>
          <w:color w:val="003D99"/>
        </w:rPr>
      </w:pPr>
      <w:r>
        <w:rPr>
          <w:rFonts w:ascii="Open Sans" w:eastAsia="Open Sans" w:hAnsi="Open Sans" w:cs="Open Sans"/>
          <w:b/>
          <w:color w:val="003D99"/>
        </w:rPr>
        <w:t>§ 8</w:t>
      </w:r>
      <w:r>
        <w:rPr>
          <w:rFonts w:ascii="Open Sans" w:eastAsia="Open Sans" w:hAnsi="Open Sans" w:cs="Open Sans"/>
          <w:b/>
          <w:color w:val="003D99"/>
        </w:rPr>
        <w:br/>
        <w:t>Re</w:t>
      </w:r>
      <w:r>
        <w:rPr>
          <w:rFonts w:ascii="Open Sans" w:eastAsia="Open Sans" w:hAnsi="Open Sans" w:cs="Open Sans"/>
          <w:b/>
          <w:color w:val="003D99"/>
        </w:rPr>
        <w:t>turn of data carriers provided and deletion of data stored by the contractor after the termination of the contract</w:t>
      </w:r>
      <w:r>
        <w:rPr>
          <w:rFonts w:ascii="Open Sans" w:eastAsia="Open Sans" w:hAnsi="Open Sans" w:cs="Open Sans"/>
          <w:b/>
          <w:color w:val="003D99"/>
        </w:rPr>
        <w:br/>
        <w:t>(on Art. 28 para. 3 lit. g GDPR)</w:t>
      </w:r>
    </w:p>
    <w:p w:rsidR="00C245BE" w:rsidRDefault="00C245BE">
      <w:pPr>
        <w:spacing w:after="0" w:line="240" w:lineRule="auto"/>
        <w:jc w:val="both"/>
        <w:rPr>
          <w:rFonts w:ascii="Open Sans" w:eastAsia="Open Sans" w:hAnsi="Open Sans" w:cs="Open Sans"/>
        </w:rPr>
      </w:pPr>
    </w:p>
    <w:p w:rsidR="00C245BE" w:rsidRDefault="00A06E1C">
      <w:pPr>
        <w:numPr>
          <w:ilvl w:val="1"/>
          <w:numId w:val="14"/>
        </w:numPr>
        <w:spacing w:after="0" w:line="240" w:lineRule="auto"/>
        <w:ind w:hanging="578"/>
        <w:rPr>
          <w:rFonts w:ascii="Open Sans" w:eastAsia="Open Sans" w:hAnsi="Open Sans" w:cs="Open Sans"/>
        </w:rPr>
      </w:pPr>
      <w:r>
        <w:rPr>
          <w:rFonts w:ascii="Open Sans" w:eastAsia="Open Sans" w:hAnsi="Open Sans" w:cs="Open Sans"/>
        </w:rPr>
        <w:t>The Contractor shall return to the Client all documents, data and data carriers provided to it after the termination of the main contract or at any time at the Client's request, or delete them completely and irrevocably at the Client's request unless there</w:t>
      </w:r>
      <w:r>
        <w:rPr>
          <w:rFonts w:ascii="Open Sans" w:eastAsia="Open Sans" w:hAnsi="Open Sans" w:cs="Open Sans"/>
        </w:rPr>
        <w:t xml:space="preserve"> is a statutory retention period. This also applies to copies of the client data at the contractor's premises, such as data backups, but not to documentation that serves as proof of the proper processing of the client data in accordance with the order. Suc</w:t>
      </w:r>
      <w:r>
        <w:rPr>
          <w:rFonts w:ascii="Open Sans" w:eastAsia="Open Sans" w:hAnsi="Open Sans" w:cs="Open Sans"/>
        </w:rPr>
        <w:t>h documentation shall be returned by the Contractor to the Client upon request.</w:t>
      </w:r>
    </w:p>
    <w:p w:rsidR="00C245BE" w:rsidRDefault="00C245BE">
      <w:pPr>
        <w:spacing w:after="0" w:line="240" w:lineRule="auto"/>
        <w:ind w:left="720"/>
        <w:rPr>
          <w:rFonts w:ascii="Open Sans" w:eastAsia="Open Sans" w:hAnsi="Open Sans" w:cs="Open Sans"/>
        </w:rPr>
      </w:pPr>
    </w:p>
    <w:p w:rsidR="00C245BE" w:rsidRDefault="00A06E1C">
      <w:pPr>
        <w:numPr>
          <w:ilvl w:val="1"/>
          <w:numId w:val="14"/>
        </w:numPr>
        <w:spacing w:after="0" w:line="240" w:lineRule="auto"/>
        <w:ind w:hanging="578"/>
        <w:jc w:val="both"/>
        <w:rPr>
          <w:rFonts w:ascii="Open Sans" w:eastAsia="Open Sans" w:hAnsi="Open Sans" w:cs="Open Sans"/>
        </w:rPr>
      </w:pPr>
      <w:r>
        <w:rPr>
          <w:rFonts w:ascii="Open Sans" w:eastAsia="Open Sans" w:hAnsi="Open Sans" w:cs="Open Sans"/>
        </w:rPr>
        <w:t>The Contractor shall confirm the deletion to the Client in writing. The Client shall have the right to check the complete and contractually compliant return or deletion of the</w:t>
      </w:r>
      <w:r>
        <w:rPr>
          <w:rFonts w:ascii="Open Sans" w:eastAsia="Open Sans" w:hAnsi="Open Sans" w:cs="Open Sans"/>
        </w:rPr>
        <w:t xml:space="preserve"> data at the Contractor's premises in a suitable manner.</w:t>
      </w:r>
    </w:p>
    <w:p w:rsidR="00C245BE" w:rsidRDefault="00C245BE">
      <w:pPr>
        <w:spacing w:after="0" w:line="240" w:lineRule="auto"/>
        <w:rPr>
          <w:rFonts w:ascii="Open Sans" w:eastAsia="Open Sans" w:hAnsi="Open Sans" w:cs="Open Sans"/>
          <w:b/>
        </w:rPr>
      </w:pPr>
    </w:p>
    <w:p w:rsidR="00C245BE" w:rsidRDefault="00C245BE">
      <w:pPr>
        <w:spacing w:after="0" w:line="240" w:lineRule="auto"/>
        <w:rPr>
          <w:rFonts w:ascii="Open Sans" w:eastAsia="Open Sans" w:hAnsi="Open Sans" w:cs="Open Sans"/>
          <w:b/>
        </w:rPr>
      </w:pPr>
    </w:p>
    <w:p w:rsidR="00C245BE" w:rsidRDefault="00A06E1C">
      <w:pPr>
        <w:keepNext/>
        <w:keepLines/>
        <w:spacing w:before="200" w:after="0" w:line="240" w:lineRule="auto"/>
        <w:rPr>
          <w:rFonts w:ascii="Open Sans" w:eastAsia="Open Sans" w:hAnsi="Open Sans" w:cs="Open Sans"/>
          <w:b/>
          <w:color w:val="003D99"/>
        </w:rPr>
      </w:pPr>
      <w:r>
        <w:rPr>
          <w:rFonts w:ascii="Open Sans" w:eastAsia="Open Sans" w:hAnsi="Open Sans" w:cs="Open Sans"/>
          <w:b/>
          <w:color w:val="003D99"/>
        </w:rPr>
        <w:t>§ 9</w:t>
      </w:r>
      <w:r>
        <w:rPr>
          <w:rFonts w:ascii="Open Sans" w:eastAsia="Open Sans" w:hAnsi="Open Sans" w:cs="Open Sans"/>
          <w:b/>
          <w:color w:val="003D99"/>
        </w:rPr>
        <w:br/>
        <w:t>Place of processing</w:t>
      </w:r>
      <w:r>
        <w:rPr>
          <w:rFonts w:ascii="Open Sans" w:eastAsia="Open Sans" w:hAnsi="Open Sans" w:cs="Open Sans"/>
          <w:b/>
          <w:color w:val="003D99"/>
        </w:rPr>
        <w:br/>
        <w:t>(on Art. 28 para. 3 lit. a GDPR)</w:t>
      </w:r>
    </w:p>
    <w:p w:rsidR="00C245BE" w:rsidRDefault="00C245BE">
      <w:pPr>
        <w:spacing w:after="0" w:line="240" w:lineRule="auto"/>
        <w:rPr>
          <w:rFonts w:ascii="Open Sans" w:eastAsia="Open Sans" w:hAnsi="Open Sans" w:cs="Open Sans"/>
          <w:b/>
        </w:rPr>
      </w:pPr>
    </w:p>
    <w:p w:rsidR="00C245BE" w:rsidRDefault="00A06E1C">
      <w:pPr>
        <w:spacing w:after="0" w:line="240" w:lineRule="auto"/>
        <w:jc w:val="both"/>
        <w:rPr>
          <w:rFonts w:ascii="Open Sans" w:eastAsia="Open Sans" w:hAnsi="Open Sans" w:cs="Open Sans"/>
        </w:rPr>
      </w:pPr>
      <w:r>
        <w:rPr>
          <w:rFonts w:ascii="Open Sans" w:eastAsia="Open Sans" w:hAnsi="Open Sans" w:cs="Open Sans"/>
        </w:rPr>
        <w:t>The processing and use of the data shall take place exclusively in the territory of the Federal Republic of Germany, in a member state of t</w:t>
      </w:r>
      <w:r>
        <w:rPr>
          <w:rFonts w:ascii="Open Sans" w:eastAsia="Open Sans" w:hAnsi="Open Sans" w:cs="Open Sans"/>
        </w:rPr>
        <w:t>he European Union or in another state party to the Agreement on the European Economic Area, provided that the latter has decided to apply the GDPR. Any relocation to a third country requires the prior written consent of the client. The client is not oblige</w:t>
      </w:r>
      <w:r>
        <w:rPr>
          <w:rFonts w:ascii="Open Sans" w:eastAsia="Open Sans" w:hAnsi="Open Sans" w:cs="Open Sans"/>
        </w:rPr>
        <w:t>d to give its consent. It is free to make its own decision in this regard. The Contractor shall ensure that the special legal requirements are met during transfer to a third country (Art. 44 et seq. GDPR).</w:t>
      </w:r>
    </w:p>
    <w:p w:rsidR="00C245BE" w:rsidRDefault="00C245BE">
      <w:pPr>
        <w:spacing w:after="0" w:line="240" w:lineRule="auto"/>
        <w:rPr>
          <w:rFonts w:ascii="Open Sans" w:eastAsia="Open Sans" w:hAnsi="Open Sans" w:cs="Open Sans"/>
        </w:rPr>
      </w:pPr>
    </w:p>
    <w:p w:rsidR="00C245BE" w:rsidRDefault="00C245BE">
      <w:pPr>
        <w:spacing w:after="0" w:line="240" w:lineRule="auto"/>
        <w:rPr>
          <w:rFonts w:ascii="Open Sans" w:eastAsia="Open Sans" w:hAnsi="Open Sans" w:cs="Open Sans"/>
        </w:rPr>
      </w:pPr>
    </w:p>
    <w:p w:rsidR="00C245BE" w:rsidRDefault="00A06E1C">
      <w:pPr>
        <w:keepNext/>
        <w:keepLines/>
        <w:spacing w:before="200" w:after="0" w:line="240" w:lineRule="auto"/>
        <w:rPr>
          <w:rFonts w:ascii="Open Sans" w:eastAsia="Open Sans" w:hAnsi="Open Sans" w:cs="Open Sans"/>
        </w:rPr>
      </w:pPr>
      <w:r>
        <w:rPr>
          <w:rFonts w:ascii="Open Sans" w:eastAsia="Open Sans" w:hAnsi="Open Sans" w:cs="Open Sans"/>
          <w:b/>
          <w:color w:val="003D99"/>
        </w:rPr>
        <w:lastRenderedPageBreak/>
        <w:t>§ 10</w:t>
      </w:r>
      <w:r>
        <w:rPr>
          <w:rFonts w:ascii="Open Sans" w:eastAsia="Open Sans" w:hAnsi="Open Sans" w:cs="Open Sans"/>
          <w:b/>
          <w:color w:val="003D99"/>
        </w:rPr>
        <w:br/>
        <w:t>Termination of contract</w:t>
      </w:r>
      <w:r>
        <w:rPr>
          <w:rFonts w:ascii="Open Sans" w:eastAsia="Open Sans" w:hAnsi="Open Sans" w:cs="Open Sans"/>
          <w:b/>
        </w:rPr>
        <w:br/>
      </w:r>
    </w:p>
    <w:p w:rsidR="00C245BE" w:rsidRDefault="00A06E1C">
      <w:pPr>
        <w:spacing w:after="0" w:line="240" w:lineRule="auto"/>
        <w:jc w:val="both"/>
        <w:rPr>
          <w:rFonts w:ascii="Open Sans" w:eastAsia="Open Sans" w:hAnsi="Open Sans" w:cs="Open Sans"/>
        </w:rPr>
      </w:pPr>
      <w:r>
        <w:rPr>
          <w:rFonts w:ascii="Open Sans" w:eastAsia="Open Sans" w:hAnsi="Open Sans" w:cs="Open Sans"/>
        </w:rPr>
        <w:t>The term of this a</w:t>
      </w:r>
      <w:r>
        <w:rPr>
          <w:rFonts w:ascii="Open Sans" w:eastAsia="Open Sans" w:hAnsi="Open Sans" w:cs="Open Sans"/>
        </w:rPr>
        <w:t>greement corresponds to the term of the main contract. If the main contract ends due to an ordinary or extraordinary termination agreement, this agreement shall also end. Isolated termination of this agreement without termination of the main contract is no</w:t>
      </w:r>
      <w:r>
        <w:rPr>
          <w:rFonts w:ascii="Open Sans" w:eastAsia="Open Sans" w:hAnsi="Open Sans" w:cs="Open Sans"/>
        </w:rPr>
        <w:t>t permitted.</w:t>
      </w:r>
    </w:p>
    <w:p w:rsidR="00C245BE" w:rsidRDefault="00C245BE">
      <w:pPr>
        <w:spacing w:after="0" w:line="240" w:lineRule="auto"/>
        <w:ind w:left="720"/>
        <w:jc w:val="both"/>
        <w:rPr>
          <w:rFonts w:ascii="Open Sans" w:eastAsia="Open Sans" w:hAnsi="Open Sans" w:cs="Open Sans"/>
        </w:rPr>
      </w:pPr>
    </w:p>
    <w:p w:rsidR="00C245BE" w:rsidRDefault="00C245BE">
      <w:pPr>
        <w:spacing w:line="240" w:lineRule="auto"/>
        <w:rPr>
          <w:rFonts w:ascii="Open Sans" w:eastAsia="Open Sans" w:hAnsi="Open Sans" w:cs="Open Sans"/>
          <w:b/>
        </w:rPr>
      </w:pPr>
    </w:p>
    <w:p w:rsidR="00C245BE" w:rsidRDefault="00A06E1C">
      <w:pPr>
        <w:keepNext/>
        <w:keepLines/>
        <w:spacing w:before="200" w:after="0" w:line="240" w:lineRule="auto"/>
        <w:rPr>
          <w:rFonts w:ascii="Open Sans" w:eastAsia="Open Sans" w:hAnsi="Open Sans" w:cs="Open Sans"/>
          <w:b/>
          <w:color w:val="003D99"/>
        </w:rPr>
      </w:pPr>
      <w:r>
        <w:rPr>
          <w:rFonts w:ascii="Open Sans" w:eastAsia="Open Sans" w:hAnsi="Open Sans" w:cs="Open Sans"/>
          <w:b/>
          <w:color w:val="003D99"/>
        </w:rPr>
        <w:t>§ 11</w:t>
      </w:r>
      <w:r>
        <w:rPr>
          <w:rFonts w:ascii="Open Sans" w:eastAsia="Open Sans" w:hAnsi="Open Sans" w:cs="Open Sans"/>
          <w:b/>
          <w:color w:val="003D99"/>
        </w:rPr>
        <w:br/>
        <w:t>Liability</w:t>
      </w:r>
    </w:p>
    <w:p w:rsidR="00C245BE" w:rsidRDefault="00C245BE">
      <w:pPr>
        <w:spacing w:after="0" w:line="240" w:lineRule="auto"/>
        <w:ind w:left="709" w:hanging="709"/>
        <w:jc w:val="both"/>
        <w:rPr>
          <w:rFonts w:ascii="Open Sans" w:eastAsia="Open Sans" w:hAnsi="Open Sans" w:cs="Open Sans"/>
        </w:rPr>
      </w:pPr>
    </w:p>
    <w:p w:rsidR="00C245BE" w:rsidRDefault="00A06E1C">
      <w:pPr>
        <w:spacing w:after="0" w:line="240" w:lineRule="auto"/>
        <w:jc w:val="both"/>
        <w:rPr>
          <w:rFonts w:ascii="Open Sans" w:eastAsia="Open Sans" w:hAnsi="Open Sans" w:cs="Open Sans"/>
        </w:rPr>
      </w:pPr>
      <w:r>
        <w:rPr>
          <w:rFonts w:ascii="Open Sans" w:eastAsia="Open Sans" w:hAnsi="Open Sans" w:cs="Open Sans"/>
        </w:rPr>
        <w:t>The parties' liability shall be governed by Art. 82 GDPR. Any liability of the Contractor towards the Client for breach of obligations under this contract or the main contract shall remain unaffected by this.</w:t>
      </w:r>
    </w:p>
    <w:p w:rsidR="00C245BE" w:rsidRDefault="00C245BE">
      <w:pPr>
        <w:spacing w:after="0" w:line="240" w:lineRule="auto"/>
        <w:ind w:left="709" w:hanging="709"/>
        <w:jc w:val="both"/>
        <w:rPr>
          <w:rFonts w:ascii="Open Sans" w:eastAsia="Open Sans" w:hAnsi="Open Sans" w:cs="Open Sans"/>
        </w:rPr>
      </w:pPr>
    </w:p>
    <w:p w:rsidR="00C245BE" w:rsidRDefault="00C245BE">
      <w:pPr>
        <w:spacing w:after="0" w:line="240" w:lineRule="auto"/>
        <w:jc w:val="both"/>
        <w:rPr>
          <w:rFonts w:ascii="Open Sans" w:eastAsia="Open Sans" w:hAnsi="Open Sans" w:cs="Open Sans"/>
        </w:rPr>
      </w:pPr>
    </w:p>
    <w:p w:rsidR="00C245BE" w:rsidRDefault="00A06E1C">
      <w:pPr>
        <w:keepNext/>
        <w:keepLines/>
        <w:spacing w:before="200" w:after="0" w:line="240" w:lineRule="auto"/>
        <w:rPr>
          <w:rFonts w:ascii="Open Sans" w:eastAsia="Open Sans" w:hAnsi="Open Sans" w:cs="Open Sans"/>
          <w:b/>
          <w:color w:val="003D99"/>
        </w:rPr>
      </w:pPr>
      <w:r>
        <w:rPr>
          <w:rFonts w:ascii="Open Sans" w:eastAsia="Open Sans" w:hAnsi="Open Sans" w:cs="Open Sans"/>
          <w:b/>
          <w:color w:val="003D99"/>
        </w:rPr>
        <w:t>§ 12</w:t>
      </w:r>
      <w:r>
        <w:rPr>
          <w:rFonts w:ascii="Open Sans" w:eastAsia="Open Sans" w:hAnsi="Open Sans" w:cs="Open Sans"/>
          <w:b/>
          <w:color w:val="003D99"/>
        </w:rPr>
        <w:br/>
      </w:r>
      <w:r>
        <w:rPr>
          <w:rFonts w:ascii="Open Sans" w:eastAsia="Open Sans" w:hAnsi="Open Sans" w:cs="Open Sans"/>
          <w:b/>
          <w:color w:val="003D99"/>
        </w:rPr>
        <w:t>Final provisions</w:t>
      </w:r>
    </w:p>
    <w:p w:rsidR="00C245BE" w:rsidRDefault="00C245BE">
      <w:pPr>
        <w:spacing w:after="0" w:line="240" w:lineRule="auto"/>
        <w:jc w:val="both"/>
        <w:rPr>
          <w:rFonts w:ascii="Open Sans" w:eastAsia="Open Sans" w:hAnsi="Open Sans" w:cs="Open Sans"/>
        </w:rPr>
      </w:pPr>
    </w:p>
    <w:p w:rsidR="00C245BE" w:rsidRDefault="00A06E1C">
      <w:pPr>
        <w:numPr>
          <w:ilvl w:val="1"/>
          <w:numId w:val="3"/>
        </w:numPr>
        <w:spacing w:after="0" w:line="240" w:lineRule="auto"/>
        <w:ind w:hanging="578"/>
        <w:rPr>
          <w:rFonts w:ascii="Open Sans" w:eastAsia="Open Sans" w:hAnsi="Open Sans" w:cs="Open Sans"/>
        </w:rPr>
      </w:pPr>
      <w:r>
        <w:rPr>
          <w:rFonts w:ascii="Open Sans" w:eastAsia="Open Sans" w:hAnsi="Open Sans" w:cs="Open Sans"/>
        </w:rPr>
        <w:t>Amendments and supplements to this agreement must be made in writing. This also applies to any deviation from this written form requirement. Amendments and supplements require express reference to the fact that they constitute an amendmen</w:t>
      </w:r>
      <w:r>
        <w:rPr>
          <w:rFonts w:ascii="Open Sans" w:eastAsia="Open Sans" w:hAnsi="Open Sans" w:cs="Open Sans"/>
        </w:rPr>
        <w:t>t or supplement to these terms and conditions.</w:t>
      </w:r>
    </w:p>
    <w:p w:rsidR="00C245BE" w:rsidRDefault="00C245BE">
      <w:pPr>
        <w:spacing w:after="0" w:line="240" w:lineRule="auto"/>
        <w:ind w:left="709" w:hanging="709"/>
        <w:jc w:val="both"/>
        <w:rPr>
          <w:rFonts w:ascii="Open Sans" w:eastAsia="Open Sans" w:hAnsi="Open Sans" w:cs="Open Sans"/>
        </w:rPr>
      </w:pPr>
    </w:p>
    <w:p w:rsidR="00C245BE" w:rsidRDefault="00A06E1C">
      <w:pPr>
        <w:numPr>
          <w:ilvl w:val="1"/>
          <w:numId w:val="3"/>
        </w:numPr>
        <w:spacing w:after="0" w:line="240" w:lineRule="auto"/>
        <w:ind w:hanging="578"/>
        <w:rPr>
          <w:rFonts w:ascii="Open Sans" w:eastAsia="Open Sans" w:hAnsi="Open Sans" w:cs="Open Sans"/>
        </w:rPr>
      </w:pPr>
      <w:r>
        <w:rPr>
          <w:rFonts w:ascii="Open Sans" w:eastAsia="Open Sans" w:hAnsi="Open Sans" w:cs="Open Sans"/>
        </w:rPr>
        <w:t>Should a provision of this agreement be invalid, this shall not affect the validity of the remaining provisions. The parties undertake to replace the invalid provision with a valid provision that comes as clo</w:t>
      </w:r>
      <w:r>
        <w:rPr>
          <w:rFonts w:ascii="Open Sans" w:eastAsia="Open Sans" w:hAnsi="Open Sans" w:cs="Open Sans"/>
        </w:rPr>
        <w:t>se as possible to the invalid provision.</w:t>
      </w:r>
    </w:p>
    <w:p w:rsidR="00C245BE" w:rsidRDefault="00C245BE">
      <w:pPr>
        <w:spacing w:after="0" w:line="240" w:lineRule="auto"/>
        <w:ind w:left="720"/>
        <w:rPr>
          <w:rFonts w:ascii="Open Sans" w:eastAsia="Open Sans" w:hAnsi="Open Sans" w:cs="Open Sans"/>
        </w:rPr>
      </w:pPr>
    </w:p>
    <w:p w:rsidR="00C245BE" w:rsidRDefault="00A06E1C">
      <w:pPr>
        <w:numPr>
          <w:ilvl w:val="1"/>
          <w:numId w:val="3"/>
        </w:numPr>
        <w:spacing w:after="0" w:line="240" w:lineRule="auto"/>
        <w:ind w:hanging="578"/>
        <w:rPr>
          <w:rFonts w:ascii="Open Sans" w:eastAsia="Open Sans" w:hAnsi="Open Sans" w:cs="Open Sans"/>
        </w:rPr>
      </w:pPr>
      <w:r>
        <w:rPr>
          <w:rFonts w:ascii="Open Sans" w:eastAsia="Open Sans" w:hAnsi="Open Sans" w:cs="Open Sans"/>
        </w:rPr>
        <w:t>German law shall apply. The place of jurisdiction shall be determined by the provisions in the main contract.</w:t>
      </w:r>
    </w:p>
    <w:p w:rsidR="00C245BE" w:rsidRDefault="00A06E1C">
      <w:pPr>
        <w:spacing w:line="240" w:lineRule="auto"/>
        <w:rPr>
          <w:b/>
          <w:shd w:val="clear" w:color="auto" w:fill="DEEBF6"/>
        </w:rPr>
      </w:pPr>
      <w:r>
        <w:br w:type="page"/>
      </w:r>
    </w:p>
    <w:p w:rsidR="00C245BE" w:rsidRDefault="00A06E1C">
      <w:pPr>
        <w:spacing w:after="0" w:line="240" w:lineRule="auto"/>
        <w:jc w:val="center"/>
        <w:rPr>
          <w:b/>
        </w:rPr>
      </w:pPr>
      <w:r>
        <w:rPr>
          <w:b/>
        </w:rPr>
        <w:lastRenderedPageBreak/>
        <w:t>Appendix 1</w:t>
      </w:r>
    </w:p>
    <w:p w:rsidR="00C245BE" w:rsidRDefault="00A06E1C">
      <w:pPr>
        <w:spacing w:after="0" w:line="240" w:lineRule="auto"/>
        <w:jc w:val="center"/>
        <w:rPr>
          <w:b/>
        </w:rPr>
      </w:pPr>
      <w:r>
        <w:rPr>
          <w:b/>
        </w:rPr>
        <w:t>Data protection and data security concept</w:t>
      </w:r>
    </w:p>
    <w:p w:rsidR="00C245BE" w:rsidRDefault="00C245BE">
      <w:pPr>
        <w:spacing w:after="0" w:line="240" w:lineRule="auto"/>
        <w:jc w:val="center"/>
        <w:rPr>
          <w:b/>
        </w:rPr>
      </w:pPr>
    </w:p>
    <w:p w:rsidR="00C245BE" w:rsidRDefault="00A06E1C">
      <w:pPr>
        <w:numPr>
          <w:ilvl w:val="0"/>
          <w:numId w:val="5"/>
        </w:numPr>
        <w:spacing w:after="0" w:line="252" w:lineRule="auto"/>
        <w:ind w:left="1440"/>
      </w:pPr>
      <w:r>
        <w:rPr>
          <w:b/>
          <w:sz w:val="20"/>
          <w:szCs w:val="20"/>
        </w:rPr>
        <w:t>Confidentiality (Art. 32 (b) GDPR)</w:t>
      </w:r>
    </w:p>
    <w:p w:rsidR="00C245BE" w:rsidRDefault="00C245BE">
      <w:pPr>
        <w:spacing w:after="0" w:line="240" w:lineRule="auto"/>
        <w:rPr>
          <w:b/>
          <w:sz w:val="20"/>
          <w:szCs w:val="20"/>
        </w:rPr>
      </w:pPr>
    </w:p>
    <w:p w:rsidR="00C245BE" w:rsidRDefault="00A06E1C">
      <w:pPr>
        <w:numPr>
          <w:ilvl w:val="0"/>
          <w:numId w:val="10"/>
        </w:numPr>
        <w:spacing w:after="0" w:line="252" w:lineRule="auto"/>
        <w:ind w:left="1440"/>
        <w:rPr>
          <w:sz w:val="21"/>
          <w:szCs w:val="21"/>
        </w:rPr>
      </w:pPr>
      <w:r>
        <w:rPr>
          <w:b/>
          <w:sz w:val="20"/>
          <w:szCs w:val="20"/>
        </w:rPr>
        <w:t>Access control</w:t>
      </w:r>
    </w:p>
    <w:p w:rsidR="00C245BE" w:rsidRDefault="00A06E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jc w:val="both"/>
        <w:rPr>
          <w:color w:val="000000"/>
          <w:sz w:val="24"/>
          <w:szCs w:val="24"/>
        </w:rPr>
      </w:pPr>
      <w:r>
        <w:rPr>
          <w:i/>
          <w:sz w:val="20"/>
          <w:szCs w:val="20"/>
        </w:rPr>
        <w:t>Measures to prevent unauthorized persons from gaining access to data processing systems with which personal data is processed or used.</w:t>
      </w:r>
    </w:p>
    <w:p w:rsidR="00C245BE" w:rsidRDefault="00C245B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jc w:val="both"/>
        <w:rPr>
          <w:i/>
          <w:color w:val="000000"/>
          <w:sz w:val="20"/>
          <w:szCs w:val="20"/>
        </w:rPr>
      </w:pPr>
    </w:p>
    <w:p w:rsidR="00C245BE" w:rsidRDefault="00A06E1C">
      <w:pPr>
        <w:numPr>
          <w:ilvl w:val="0"/>
          <w:numId w:val="13"/>
        </w:numPr>
        <w:spacing w:after="0" w:line="252" w:lineRule="auto"/>
        <w:ind w:left="1440"/>
        <w:rPr>
          <w:sz w:val="21"/>
          <w:szCs w:val="21"/>
        </w:rPr>
      </w:pPr>
      <w:r>
        <w:rPr>
          <w:b/>
          <w:sz w:val="20"/>
          <w:szCs w:val="20"/>
        </w:rPr>
        <w:t>Measures at the company headquarters</w:t>
      </w:r>
    </w:p>
    <w:p w:rsidR="00C245BE" w:rsidRDefault="00C245BE">
      <w:pPr>
        <w:spacing w:after="0" w:line="240" w:lineRule="auto"/>
        <w:rPr>
          <w:sz w:val="20"/>
          <w:szCs w:val="20"/>
        </w:rPr>
      </w:pPr>
    </w:p>
    <w:tbl>
      <w:tblPr>
        <w:tblStyle w:val="a3"/>
        <w:tblW w:w="8507" w:type="dxa"/>
        <w:tblInd w:w="-108" w:type="dxa"/>
        <w:tblLayout w:type="fixed"/>
        <w:tblLook w:val="0400" w:firstRow="0" w:lastRow="0" w:firstColumn="0" w:lastColumn="0" w:noHBand="0" w:noVBand="1"/>
      </w:tblPr>
      <w:tblGrid>
        <w:gridCol w:w="4254"/>
        <w:gridCol w:w="4253"/>
      </w:tblGrid>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Alarm system with connection to security service or police</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Written regulations on access authorization</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Automatic access control system</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Manual locking system</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Chip cards / transponder systems</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Security locks</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Biometric access locks</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Reception / Reception / Porter</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List of issued keys/transponders is kept</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Employee ID cards must be carried</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Locking system with code lock</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Video surveillance</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Visitors' book / Visitors' log</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Visitor passes are issued</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Work areas and areas accessible to visitors are separated from each other</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Visitors have access to all areas of th</w:t>
            </w:r>
            <w:r>
              <w:t>e building</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Access for visitors only with a confidentiality agreement</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Visitors accompanied by employees for the entire duration of their visit</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Careful selection of external service providers who are granted access to the building (security staff, cleaning</w:t>
            </w:r>
            <w:r>
              <w:t xml:space="preserve"> services, tradesmen, etc.)</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All external service providers (security staff, cleaning services, tradesmen, etc.) must sign a confidentiality agreement before entering the building for the first time</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Written rules for the selection and review of external se</w:t>
            </w:r>
            <w:r>
              <w:t>rvice providers</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Further measures:</w:t>
            </w:r>
          </w:p>
        </w:tc>
      </w:tr>
    </w:tbl>
    <w:p w:rsidR="00C245BE" w:rsidRDefault="00C245BE">
      <w:pPr>
        <w:spacing w:after="0" w:line="240" w:lineRule="auto"/>
        <w:rPr>
          <w:sz w:val="20"/>
          <w:szCs w:val="20"/>
        </w:rPr>
      </w:pPr>
    </w:p>
    <w:p w:rsidR="00C245BE" w:rsidRDefault="00A06E1C">
      <w:pPr>
        <w:numPr>
          <w:ilvl w:val="0"/>
          <w:numId w:val="13"/>
        </w:numPr>
        <w:spacing w:after="0" w:line="252" w:lineRule="auto"/>
        <w:ind w:left="1440"/>
        <w:rPr>
          <w:sz w:val="21"/>
          <w:szCs w:val="21"/>
        </w:rPr>
      </w:pPr>
      <w:r>
        <w:rPr>
          <w:b/>
          <w:sz w:val="20"/>
          <w:szCs w:val="20"/>
        </w:rPr>
        <w:t>Measures regarding server rooms</w:t>
      </w:r>
    </w:p>
    <w:p w:rsidR="00C245BE" w:rsidRDefault="00C245BE">
      <w:pPr>
        <w:spacing w:after="0" w:line="240" w:lineRule="auto"/>
        <w:rPr>
          <w:sz w:val="20"/>
          <w:szCs w:val="20"/>
        </w:rPr>
      </w:pPr>
    </w:p>
    <w:tbl>
      <w:tblPr>
        <w:tblStyle w:val="a4"/>
        <w:tblW w:w="8507" w:type="dxa"/>
        <w:tblInd w:w="-108" w:type="dxa"/>
        <w:tblLayout w:type="fixed"/>
        <w:tblLook w:val="0400" w:firstRow="0" w:lastRow="0" w:firstColumn="0" w:lastColumn="0" w:noHBand="0" w:noVBand="1"/>
      </w:tblPr>
      <w:tblGrid>
        <w:gridCol w:w="4254"/>
        <w:gridCol w:w="4253"/>
      </w:tblGrid>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Alarm system with connection to security service or police</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Written regulations on access authorization</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Automatic access control system</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Manual locking system</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Chip cards / transponder systems</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Security locks</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Biometric access locks</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Server rooms demarcated (restricted area)</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List of issued keys/transponders are kept</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Number of people allowed to enter server rooms limited to a minimum</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Locking system with code lock</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Video surveillance</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No granting of access authorizations for visitors</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Further measures</w:t>
            </w:r>
          </w:p>
        </w:tc>
      </w:tr>
    </w:tbl>
    <w:p w:rsidR="00C245BE" w:rsidRDefault="00C245BE">
      <w:pPr>
        <w:spacing w:after="0" w:line="240" w:lineRule="auto"/>
        <w:rPr>
          <w:sz w:val="20"/>
          <w:szCs w:val="20"/>
        </w:rPr>
      </w:pPr>
    </w:p>
    <w:p w:rsidR="00C245BE" w:rsidRDefault="00A06E1C">
      <w:pPr>
        <w:numPr>
          <w:ilvl w:val="0"/>
          <w:numId w:val="10"/>
        </w:numPr>
        <w:spacing w:after="0" w:line="252" w:lineRule="auto"/>
        <w:ind w:left="1440"/>
        <w:rPr>
          <w:sz w:val="21"/>
          <w:szCs w:val="21"/>
        </w:rPr>
      </w:pPr>
      <w:r>
        <w:rPr>
          <w:b/>
          <w:sz w:val="20"/>
          <w:szCs w:val="20"/>
        </w:rPr>
        <w:t>Access control</w:t>
      </w:r>
    </w:p>
    <w:p w:rsidR="00C245BE" w:rsidRDefault="00A06E1C">
      <w:pPr>
        <w:spacing w:after="0" w:line="240" w:lineRule="auto"/>
        <w:jc w:val="both"/>
      </w:pPr>
      <w:r>
        <w:rPr>
          <w:i/>
          <w:sz w:val="20"/>
          <w:szCs w:val="20"/>
        </w:rPr>
        <w:t>Measures that are suitable for preventing data processing systems from being used by unauthorized persons.</w:t>
      </w:r>
    </w:p>
    <w:p w:rsidR="00C245BE" w:rsidRDefault="00C245BE">
      <w:pPr>
        <w:spacing w:after="0" w:line="240" w:lineRule="auto"/>
        <w:jc w:val="both"/>
        <w:rPr>
          <w:i/>
          <w:sz w:val="20"/>
          <w:szCs w:val="20"/>
        </w:rPr>
      </w:pPr>
    </w:p>
    <w:tbl>
      <w:tblPr>
        <w:tblStyle w:val="a5"/>
        <w:tblW w:w="8506" w:type="dxa"/>
        <w:tblInd w:w="-108" w:type="dxa"/>
        <w:tblLayout w:type="fixed"/>
        <w:tblLook w:val="0400" w:firstRow="0" w:lastRow="0" w:firstColumn="0" w:lastColumn="0" w:noHBand="0" w:noVBand="1"/>
      </w:tblPr>
      <w:tblGrid>
        <w:gridCol w:w="4253"/>
        <w:gridCol w:w="4253"/>
      </w:tblGrid>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Written regulations for granting user accounts available</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Logging the allocation and withdrawal of user accounts</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Granting of user accounts only by administrators</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Only personalized user accounts</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Login with biometric data</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Login with user name + password</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Password security policy in place (minimum requirement for password length and complexity)</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Compliance with the password security policy is technically enforced</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Regular password change required</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Access block for unsuccessful login attempts</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Logging of unsuc</w:t>
            </w:r>
            <w:r>
              <w:t>cessful login attempts</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Automatic screen lock</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lastRenderedPageBreak/>
              <w:t>Employees must lock their desktop when leaving the workplace</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Data protection and data security policy in place, currently being drafted</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Anti-virus software for servers</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Anti-virus software for clients</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Anti-vir</w:t>
            </w:r>
            <w:r>
              <w:t>us software for mobile devices</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Firewall</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Any anti-virus software and firewall used is updated regularly</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Intrusion Detection Systeme</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Mobile Device Management</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Mobile Device Policy</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Enclosure lock</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Use of VPN for remote access</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Encryption</w:t>
            </w:r>
            <w:r>
              <w:t xml:space="preserve"> </w:t>
            </w:r>
            <w:r>
              <w:t>of</w:t>
            </w:r>
            <w:r>
              <w:t xml:space="preserve"> </w:t>
            </w:r>
            <w:r>
              <w:t>n</w:t>
            </w:r>
            <w:r>
              <w:t xml:space="preserve">otebooks / </w:t>
            </w:r>
            <w:r>
              <w:t>t</w:t>
            </w:r>
            <w:r>
              <w:t>ablets</w:t>
            </w:r>
          </w:p>
          <w:p w:rsidR="00C245BE" w:rsidRDefault="00A06E1C">
            <w:pPr>
              <w:rPr>
                <w:highlight w:val="white"/>
              </w:rPr>
            </w:pPr>
            <w:r>
              <w:rPr>
                <w:i/>
                <w:highlight w:val="white"/>
              </w:rPr>
              <w:t>Bitlocker, FileVault.</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Encryption of data carriers</w:t>
            </w:r>
          </w:p>
          <w:p w:rsidR="00C245BE" w:rsidRDefault="00A06E1C">
            <w:r>
              <w:rPr>
                <w:i/>
              </w:rPr>
              <w:t>Bitlocker, FileVault.</w:t>
            </w:r>
          </w:p>
        </w:tc>
      </w:tr>
    </w:tbl>
    <w:p w:rsidR="00C245BE" w:rsidRDefault="00C245BE">
      <w:pPr>
        <w:spacing w:after="0" w:line="240" w:lineRule="auto"/>
        <w:rPr>
          <w:sz w:val="20"/>
          <w:szCs w:val="20"/>
        </w:rPr>
      </w:pPr>
    </w:p>
    <w:p w:rsidR="00C245BE" w:rsidRDefault="00A06E1C">
      <w:pPr>
        <w:numPr>
          <w:ilvl w:val="0"/>
          <w:numId w:val="10"/>
        </w:numPr>
        <w:spacing w:after="0" w:line="252" w:lineRule="auto"/>
        <w:ind w:left="1440"/>
        <w:rPr>
          <w:sz w:val="21"/>
          <w:szCs w:val="21"/>
        </w:rPr>
      </w:pPr>
      <w:r>
        <w:rPr>
          <w:b/>
          <w:sz w:val="20"/>
          <w:szCs w:val="20"/>
        </w:rPr>
        <w:t>Access control</w:t>
      </w:r>
    </w:p>
    <w:p w:rsidR="00C245BE" w:rsidRDefault="00A06E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jc w:val="both"/>
        <w:rPr>
          <w:color w:val="000000"/>
          <w:sz w:val="24"/>
          <w:szCs w:val="24"/>
        </w:rPr>
      </w:pPr>
      <w:r>
        <w:rPr>
          <w:i/>
          <w:sz w:val="20"/>
          <w:szCs w:val="20"/>
        </w:rPr>
        <w:t>Measures that ensure that persons authorized to use a data processing system can only access the data subject to their access authorization.</w:t>
      </w:r>
    </w:p>
    <w:p w:rsidR="00C245BE" w:rsidRDefault="00C245B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jc w:val="both"/>
        <w:rPr>
          <w:i/>
          <w:color w:val="000000"/>
          <w:sz w:val="20"/>
          <w:szCs w:val="20"/>
        </w:rPr>
      </w:pPr>
    </w:p>
    <w:tbl>
      <w:tblPr>
        <w:tblStyle w:val="a6"/>
        <w:tblW w:w="8505" w:type="dxa"/>
        <w:tblInd w:w="-108" w:type="dxa"/>
        <w:tblLayout w:type="fixed"/>
        <w:tblLook w:val="0400" w:firstRow="0" w:lastRow="0" w:firstColumn="0" w:lastColumn="0" w:noHBand="0" w:noVBand="1"/>
      </w:tblPr>
      <w:tblGrid>
        <w:gridCol w:w="4253"/>
        <w:gridCol w:w="4252"/>
      </w:tblGrid>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User authorization concept in place</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Minimum number of administrators</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Logging of assignment and revocation of authorizations</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Authorizations only granted by administrators</w:t>
            </w:r>
          </w:p>
          <w:p w:rsidR="00C245BE" w:rsidRDefault="00C245BE"/>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Granting of access rights according to the need-to-know principle</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Granting of diffe</w:t>
            </w:r>
            <w:r>
              <w:t>rentiated authorizations (e.g. read-only, read-and-write, ...)</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Creation of user profiles</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 xml:space="preserve">Regular review of the authorizations granted </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Logging of attempted and successful access to applications and/or data</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Policy for secure deletion/destruction of data c</w:t>
            </w:r>
            <w:r>
              <w:t>arriers no longer in use</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Data carrier management (regulation of output; prohibition of the use of own data carriers)</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Further measures:</w:t>
            </w:r>
          </w:p>
        </w:tc>
      </w:tr>
    </w:tbl>
    <w:p w:rsidR="00C245BE" w:rsidRDefault="00C245BE">
      <w:pPr>
        <w:spacing w:after="0" w:line="240" w:lineRule="auto"/>
        <w:rPr>
          <w:sz w:val="20"/>
          <w:szCs w:val="20"/>
        </w:rPr>
      </w:pPr>
    </w:p>
    <w:p w:rsidR="00C245BE" w:rsidRDefault="00A06E1C">
      <w:pPr>
        <w:numPr>
          <w:ilvl w:val="0"/>
          <w:numId w:val="10"/>
        </w:numPr>
        <w:spacing w:after="0" w:line="252" w:lineRule="auto"/>
        <w:ind w:left="1440"/>
        <w:rPr>
          <w:sz w:val="21"/>
          <w:szCs w:val="21"/>
        </w:rPr>
      </w:pPr>
      <w:r>
        <w:rPr>
          <w:b/>
          <w:sz w:val="20"/>
          <w:szCs w:val="20"/>
        </w:rPr>
        <w:t>Separation control</w:t>
      </w:r>
    </w:p>
    <w:p w:rsidR="00C245BE" w:rsidRDefault="00A06E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jc w:val="both"/>
        <w:rPr>
          <w:color w:val="000000"/>
          <w:sz w:val="24"/>
          <w:szCs w:val="24"/>
        </w:rPr>
      </w:pPr>
      <w:r>
        <w:rPr>
          <w:i/>
          <w:sz w:val="20"/>
          <w:szCs w:val="20"/>
        </w:rPr>
        <w:t>Measures to ensure that data collected for different purposes can be processed separately.</w:t>
      </w:r>
    </w:p>
    <w:p w:rsidR="00C245BE" w:rsidRDefault="00C245B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jc w:val="both"/>
        <w:rPr>
          <w:i/>
          <w:color w:val="000000"/>
          <w:sz w:val="20"/>
          <w:szCs w:val="20"/>
        </w:rPr>
      </w:pPr>
    </w:p>
    <w:tbl>
      <w:tblPr>
        <w:tblStyle w:val="a7"/>
        <w:tblW w:w="8505" w:type="dxa"/>
        <w:tblInd w:w="-108" w:type="dxa"/>
        <w:tblLayout w:type="fixed"/>
        <w:tblLook w:val="0400" w:firstRow="0" w:lastRow="0" w:firstColumn="0" w:lastColumn="0" w:noHBand="0" w:noVBand="1"/>
      </w:tblPr>
      <w:tblGrid>
        <w:gridCol w:w="4253"/>
        <w:gridCol w:w="4252"/>
      </w:tblGrid>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Separation of production and test environments</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Separation of data from different controllers</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Physical separation</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Logical separation</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Separation via authorization concept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pPr>
              <w:shd w:val="clear" w:color="auto" w:fill="FFFFFF"/>
            </w:pPr>
            <w:r>
              <w:t>Further measures:</w:t>
            </w:r>
          </w:p>
        </w:tc>
      </w:tr>
    </w:tbl>
    <w:p w:rsidR="00C245BE" w:rsidRDefault="00C245BE">
      <w:pPr>
        <w:spacing w:after="0" w:line="240" w:lineRule="auto"/>
        <w:rPr>
          <w:sz w:val="20"/>
          <w:szCs w:val="20"/>
        </w:rPr>
      </w:pPr>
    </w:p>
    <w:p w:rsidR="00C245BE" w:rsidRDefault="00A06E1C">
      <w:pPr>
        <w:numPr>
          <w:ilvl w:val="0"/>
          <w:numId w:val="10"/>
        </w:numPr>
        <w:spacing w:after="0" w:line="252" w:lineRule="auto"/>
        <w:ind w:left="1440"/>
        <w:rPr>
          <w:sz w:val="21"/>
          <w:szCs w:val="21"/>
        </w:rPr>
      </w:pPr>
      <w:r>
        <w:rPr>
          <w:b/>
          <w:sz w:val="20"/>
          <w:szCs w:val="20"/>
        </w:rPr>
        <w:t>Pseudonymization (Art. 32 para. 1 lit. a GDPR; Art. 25 para. 1 GDPR)</w:t>
      </w:r>
    </w:p>
    <w:p w:rsidR="00C245BE" w:rsidRDefault="00A06E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jc w:val="both"/>
        <w:rPr>
          <w:color w:val="000000"/>
          <w:sz w:val="24"/>
          <w:szCs w:val="24"/>
        </w:rPr>
      </w:pPr>
      <w:r>
        <w:rPr>
          <w:i/>
          <w:sz w:val="20"/>
          <w:szCs w:val="20"/>
        </w:rPr>
        <w:t>The processing of personal data in such a manner that the data can no longer be attributed to a specific data subject without the use of additional information, provided that such additional information is kept separately and is subject to appropriate tech</w:t>
      </w:r>
      <w:r>
        <w:rPr>
          <w:i/>
          <w:sz w:val="20"/>
          <w:szCs w:val="20"/>
        </w:rPr>
        <w:t>nical and organizational measures.</w:t>
      </w:r>
    </w:p>
    <w:p w:rsidR="00C245BE" w:rsidRDefault="00C245BE">
      <w:pPr>
        <w:spacing w:after="0" w:line="240" w:lineRule="auto"/>
        <w:rPr>
          <w:sz w:val="20"/>
          <w:szCs w:val="20"/>
        </w:rPr>
      </w:pPr>
    </w:p>
    <w:tbl>
      <w:tblPr>
        <w:tblStyle w:val="a8"/>
        <w:tblW w:w="8505" w:type="dxa"/>
        <w:tblInd w:w="-108" w:type="dxa"/>
        <w:tblLayout w:type="fixed"/>
        <w:tblLook w:val="0400" w:firstRow="0" w:lastRow="0" w:firstColumn="0" w:lastColumn="0" w:noHBand="0" w:noVBand="1"/>
      </w:tblPr>
      <w:tblGrid>
        <w:gridCol w:w="4253"/>
        <w:gridCol w:w="4252"/>
      </w:tblGrid>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Pseudonymization of data is possible if required</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Personal data is pseudonymized as quickly as possible</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Separation of the assignment data to remove the pseudonymization in a separate and secure system</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Personal data is anonymized (it is impossible to assign it to a person again, regardless of the effort involved)</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Pseudonymization can only be removed if there is a legal basis and only for individual employees who have been specially trained in data prote</w:t>
            </w:r>
            <w:r>
              <w:t>ction law</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Further measures:</w:t>
            </w:r>
          </w:p>
        </w:tc>
      </w:tr>
    </w:tbl>
    <w:p w:rsidR="00C245BE" w:rsidRDefault="00C245BE">
      <w:pPr>
        <w:spacing w:after="0" w:line="240" w:lineRule="auto"/>
        <w:rPr>
          <w:sz w:val="20"/>
          <w:szCs w:val="20"/>
        </w:rPr>
      </w:pPr>
    </w:p>
    <w:p w:rsidR="00C245BE" w:rsidRDefault="00A06E1C">
      <w:pPr>
        <w:numPr>
          <w:ilvl w:val="0"/>
          <w:numId w:val="5"/>
        </w:numPr>
        <w:spacing w:after="0" w:line="252" w:lineRule="auto"/>
        <w:ind w:left="1440"/>
        <w:rPr>
          <w:sz w:val="21"/>
          <w:szCs w:val="21"/>
        </w:rPr>
      </w:pPr>
      <w:r>
        <w:rPr>
          <w:b/>
          <w:sz w:val="20"/>
          <w:szCs w:val="20"/>
        </w:rPr>
        <w:t>Integrity (Art. 32 (b) GDPR)</w:t>
      </w:r>
    </w:p>
    <w:p w:rsidR="00C245BE" w:rsidRDefault="00C245BE">
      <w:pPr>
        <w:spacing w:after="0" w:line="240" w:lineRule="auto"/>
        <w:rPr>
          <w:b/>
          <w:sz w:val="20"/>
          <w:szCs w:val="20"/>
        </w:rPr>
      </w:pPr>
    </w:p>
    <w:p w:rsidR="00C245BE" w:rsidRDefault="00A06E1C">
      <w:pPr>
        <w:numPr>
          <w:ilvl w:val="0"/>
          <w:numId w:val="18"/>
        </w:numPr>
        <w:spacing w:after="0" w:line="252" w:lineRule="auto"/>
        <w:ind w:left="1440"/>
        <w:rPr>
          <w:sz w:val="21"/>
          <w:szCs w:val="21"/>
        </w:rPr>
      </w:pPr>
      <w:r>
        <w:rPr>
          <w:b/>
          <w:sz w:val="20"/>
          <w:szCs w:val="20"/>
        </w:rPr>
        <w:t>Transfer control</w:t>
      </w:r>
    </w:p>
    <w:p w:rsidR="00C245BE" w:rsidRDefault="00A06E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jc w:val="both"/>
        <w:rPr>
          <w:color w:val="000000"/>
          <w:sz w:val="24"/>
          <w:szCs w:val="24"/>
        </w:rPr>
      </w:pPr>
      <w:r>
        <w:rPr>
          <w:i/>
          <w:sz w:val="20"/>
          <w:szCs w:val="20"/>
        </w:rPr>
        <w:t>Measures to ensure that personal data cannot be read, copied, altered or removed without authorization during electronic transmission or during transport or storage on data carrie</w:t>
      </w:r>
      <w:r>
        <w:rPr>
          <w:i/>
          <w:sz w:val="20"/>
          <w:szCs w:val="20"/>
        </w:rPr>
        <w:t>rs and that it is possible to verify and establish to which bodies personal data are intended to be transmitted by data transmission equipment.</w:t>
      </w:r>
    </w:p>
    <w:p w:rsidR="00C245BE" w:rsidRDefault="00C245BE">
      <w:pPr>
        <w:spacing w:after="0" w:line="240" w:lineRule="auto"/>
        <w:rPr>
          <w:sz w:val="20"/>
          <w:szCs w:val="20"/>
        </w:rPr>
      </w:pPr>
    </w:p>
    <w:tbl>
      <w:tblPr>
        <w:tblStyle w:val="a9"/>
        <w:tblW w:w="8505" w:type="dxa"/>
        <w:tblInd w:w="-108" w:type="dxa"/>
        <w:tblLayout w:type="fixed"/>
        <w:tblLook w:val="0400" w:firstRow="0" w:lastRow="0" w:firstColumn="0" w:lastColumn="0" w:noHBand="0" w:noVBand="1"/>
      </w:tblPr>
      <w:tblGrid>
        <w:gridCol w:w="4253"/>
        <w:gridCol w:w="4252"/>
      </w:tblGrid>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lastRenderedPageBreak/>
              <w:t>E-mails containing personal data are sent exclusively in encrypted form</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Provision of personal data only via encrypted connections</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Dispatch of data carriers (paper or electronic) by post, courier, etc.</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Careful selection of transport personnel and vehicles</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Use of secure transport containers</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Documentation of data recipients and</w:t>
            </w:r>
            <w:r>
              <w:t xml:space="preserve"> the duration of the planned transfer or the agreed deletion periods</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Forwarding of data only in anonymized form</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Forwarding of data only in pseudonymized form</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Use of VPN for remote access</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Logging every time data is retrieved</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 xml:space="preserve">Logging of regular retrieval </w:t>
            </w:r>
            <w:r>
              <w:t>and transmission processes</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Remote maintenance of systems in which the controller's personal data is stored</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Blocking of external interfaces (e.g. USB)</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Clean-Desk-Policy</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Data protection safe available</w:t>
            </w:r>
          </w:p>
          <w:p w:rsidR="00C245BE" w:rsidRDefault="00C245BE"/>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Policy for the deletion and destruction of data carriers</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File shredder</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External document shredder</w:t>
            </w:r>
          </w:p>
          <w:p w:rsidR="00C245BE" w:rsidRDefault="00A06E1C">
            <w:r>
              <w:t>Provider: Shred-IT</w:t>
            </w:r>
          </w:p>
        </w:tc>
      </w:tr>
    </w:tbl>
    <w:p w:rsidR="00C245BE" w:rsidRDefault="00C245BE">
      <w:pPr>
        <w:spacing w:after="0" w:line="240" w:lineRule="auto"/>
        <w:rPr>
          <w:sz w:val="20"/>
          <w:szCs w:val="20"/>
        </w:rPr>
      </w:pPr>
    </w:p>
    <w:p w:rsidR="00C245BE" w:rsidRDefault="00A06E1C">
      <w:pPr>
        <w:numPr>
          <w:ilvl w:val="0"/>
          <w:numId w:val="18"/>
        </w:numPr>
        <w:spacing w:after="0" w:line="252" w:lineRule="auto"/>
        <w:ind w:left="1440"/>
        <w:rPr>
          <w:sz w:val="21"/>
          <w:szCs w:val="21"/>
        </w:rPr>
      </w:pPr>
      <w:r>
        <w:rPr>
          <w:b/>
          <w:sz w:val="20"/>
          <w:szCs w:val="20"/>
        </w:rPr>
        <w:t>Input control</w:t>
      </w:r>
    </w:p>
    <w:p w:rsidR="00C245BE" w:rsidRDefault="00A06E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jc w:val="both"/>
        <w:rPr>
          <w:color w:val="000000"/>
          <w:sz w:val="24"/>
          <w:szCs w:val="24"/>
        </w:rPr>
      </w:pPr>
      <w:r>
        <w:rPr>
          <w:i/>
          <w:sz w:val="20"/>
          <w:szCs w:val="20"/>
        </w:rPr>
        <w:t>Measures that ensure that it is possible to subsequently check and determine whether and by whom personal data has been en</w:t>
      </w:r>
      <w:r>
        <w:rPr>
          <w:i/>
          <w:sz w:val="20"/>
          <w:szCs w:val="20"/>
        </w:rPr>
        <w:t>tered, modified or removed from data processing systems.</w:t>
      </w:r>
    </w:p>
    <w:p w:rsidR="00C245BE" w:rsidRDefault="00C245BE">
      <w:pPr>
        <w:spacing w:after="0" w:line="240" w:lineRule="auto"/>
        <w:rPr>
          <w:sz w:val="20"/>
          <w:szCs w:val="20"/>
        </w:rPr>
      </w:pPr>
    </w:p>
    <w:p w:rsidR="00C245BE" w:rsidRDefault="00A06E1C">
      <w:pPr>
        <w:numPr>
          <w:ilvl w:val="0"/>
          <w:numId w:val="19"/>
        </w:numPr>
        <w:spacing w:after="0" w:line="240" w:lineRule="auto"/>
        <w:jc w:val="both"/>
        <w:rPr>
          <w:sz w:val="20"/>
          <w:szCs w:val="20"/>
        </w:rPr>
      </w:pPr>
      <w:r>
        <w:rPr>
          <w:sz w:val="20"/>
          <w:szCs w:val="20"/>
        </w:rPr>
        <w:t>The Contractor processes the Client's personal data primarily on the Client's IT systems. For these processing operations, no input control information is required from the Contractor. With regard t</w:t>
      </w:r>
      <w:r>
        <w:rPr>
          <w:sz w:val="20"/>
          <w:szCs w:val="20"/>
        </w:rPr>
        <w:t>o input control, the following technical and organizational measures of the client apply, for the implementation and maintenance of which the client is responsible:</w:t>
      </w:r>
    </w:p>
    <w:p w:rsidR="00C245BE" w:rsidRDefault="00A06E1C">
      <w:pPr>
        <w:numPr>
          <w:ilvl w:val="0"/>
          <w:numId w:val="20"/>
        </w:numPr>
        <w:spacing w:after="0" w:line="240" w:lineRule="auto"/>
        <w:jc w:val="both"/>
        <w:rPr>
          <w:sz w:val="20"/>
          <w:szCs w:val="20"/>
        </w:rPr>
      </w:pPr>
      <w:r>
        <w:rPr>
          <w:sz w:val="20"/>
          <w:szCs w:val="20"/>
        </w:rPr>
        <w:t>The entry, modification and deletion of personal data is tracked by means of audit-proof lo</w:t>
      </w:r>
      <w:r>
        <w:rPr>
          <w:sz w:val="20"/>
          <w:szCs w:val="20"/>
        </w:rPr>
        <w:t>gging in the respective applications.</w:t>
      </w:r>
    </w:p>
    <w:p w:rsidR="00C245BE" w:rsidRDefault="00A06E1C">
      <w:pPr>
        <w:numPr>
          <w:ilvl w:val="0"/>
          <w:numId w:val="20"/>
        </w:numPr>
        <w:spacing w:after="0" w:line="240" w:lineRule="auto"/>
        <w:jc w:val="both"/>
        <w:rPr>
          <w:sz w:val="20"/>
          <w:szCs w:val="20"/>
        </w:rPr>
      </w:pPr>
      <w:r>
        <w:rPr>
          <w:sz w:val="20"/>
          <w:szCs w:val="20"/>
        </w:rPr>
        <w:t>Detailed authorization concepts for the applications are implemented in the system and any changes made are documented in the ticket system.</w:t>
      </w:r>
    </w:p>
    <w:p w:rsidR="00C245BE" w:rsidRDefault="00A06E1C">
      <w:pPr>
        <w:numPr>
          <w:ilvl w:val="0"/>
          <w:numId w:val="20"/>
        </w:numPr>
        <w:spacing w:after="0" w:line="240" w:lineRule="auto"/>
        <w:jc w:val="both"/>
        <w:rPr>
          <w:sz w:val="20"/>
          <w:szCs w:val="20"/>
        </w:rPr>
      </w:pPr>
      <w:r>
        <w:rPr>
          <w:sz w:val="20"/>
          <w:szCs w:val="20"/>
        </w:rPr>
        <w:t>The activities carried out are logged and the logs are checked regularly.</w:t>
      </w:r>
    </w:p>
    <w:p w:rsidR="00C245BE" w:rsidRDefault="00A06E1C">
      <w:pPr>
        <w:numPr>
          <w:ilvl w:val="0"/>
          <w:numId w:val="20"/>
        </w:numPr>
        <w:spacing w:after="0" w:line="240" w:lineRule="auto"/>
        <w:jc w:val="both"/>
        <w:rPr>
          <w:sz w:val="20"/>
          <w:szCs w:val="20"/>
        </w:rPr>
      </w:pPr>
      <w:r>
        <w:rPr>
          <w:sz w:val="20"/>
          <w:szCs w:val="20"/>
        </w:rPr>
        <w:t>By monitoring log files, those responsible are technically alerted in the event of critical operations.</w:t>
      </w:r>
    </w:p>
    <w:p w:rsidR="00C245BE" w:rsidRDefault="00A06E1C">
      <w:pPr>
        <w:numPr>
          <w:ilvl w:val="0"/>
          <w:numId w:val="19"/>
        </w:numPr>
        <w:spacing w:after="0" w:line="240" w:lineRule="auto"/>
        <w:jc w:val="both"/>
        <w:rPr>
          <w:sz w:val="20"/>
          <w:szCs w:val="20"/>
        </w:rPr>
      </w:pPr>
      <w:r>
        <w:rPr>
          <w:sz w:val="20"/>
          <w:szCs w:val="20"/>
        </w:rPr>
        <w:t>Insofar as the personal data of the Client is processed on the Contractor's IT systems in individual cases, e.g. through transmitted screenshots of erro</w:t>
      </w:r>
      <w:r>
        <w:rPr>
          <w:sz w:val="20"/>
          <w:szCs w:val="20"/>
        </w:rPr>
        <w:t>r messages or test databases or similar, this is done exclusively for analysis purposes. This data is not transmitted back to the client in modified form for further use but is deleted by the contractor after the analysis has been completed. No separate me</w:t>
      </w:r>
      <w:r>
        <w:rPr>
          <w:sz w:val="20"/>
          <w:szCs w:val="20"/>
        </w:rPr>
        <w:t>asures for input control are therefore required for this data; however, the measures listed above under A. 1. to 4. ensure that only authorized persons at the Contractor can access this data and that access can be traced.</w:t>
      </w:r>
    </w:p>
    <w:p w:rsidR="00C245BE" w:rsidRDefault="00C245BE">
      <w:pPr>
        <w:spacing w:after="0" w:line="240" w:lineRule="auto"/>
        <w:rPr>
          <w:sz w:val="20"/>
          <w:szCs w:val="20"/>
        </w:rPr>
      </w:pPr>
    </w:p>
    <w:p w:rsidR="00C245BE" w:rsidRDefault="00C245BE">
      <w:pPr>
        <w:spacing w:after="0" w:line="240" w:lineRule="auto"/>
        <w:rPr>
          <w:sz w:val="20"/>
          <w:szCs w:val="20"/>
        </w:rPr>
      </w:pPr>
    </w:p>
    <w:p w:rsidR="00C245BE" w:rsidRDefault="00A06E1C">
      <w:pPr>
        <w:numPr>
          <w:ilvl w:val="0"/>
          <w:numId w:val="5"/>
        </w:numPr>
        <w:spacing w:after="0" w:line="252" w:lineRule="auto"/>
        <w:ind w:left="1440"/>
        <w:rPr>
          <w:sz w:val="21"/>
          <w:szCs w:val="21"/>
        </w:rPr>
      </w:pPr>
      <w:r>
        <w:rPr>
          <w:b/>
          <w:sz w:val="20"/>
          <w:szCs w:val="20"/>
        </w:rPr>
        <w:t>Availability and resilience of s</w:t>
      </w:r>
      <w:r>
        <w:rPr>
          <w:b/>
          <w:sz w:val="20"/>
          <w:szCs w:val="20"/>
        </w:rPr>
        <w:t>ystems and services (Art. 32 (b), (c) GDPR)</w:t>
      </w:r>
    </w:p>
    <w:p w:rsidR="00C245BE" w:rsidRDefault="00C245BE">
      <w:pPr>
        <w:spacing w:after="0" w:line="240" w:lineRule="auto"/>
        <w:rPr>
          <w:b/>
          <w:sz w:val="20"/>
          <w:szCs w:val="20"/>
        </w:rPr>
      </w:pPr>
    </w:p>
    <w:p w:rsidR="00C245BE" w:rsidRDefault="00A06E1C">
      <w:pPr>
        <w:numPr>
          <w:ilvl w:val="0"/>
          <w:numId w:val="21"/>
        </w:numPr>
        <w:spacing w:after="0" w:line="252" w:lineRule="auto"/>
        <w:ind w:left="1440"/>
        <w:rPr>
          <w:sz w:val="21"/>
          <w:szCs w:val="21"/>
        </w:rPr>
      </w:pPr>
      <w:r>
        <w:rPr>
          <w:b/>
          <w:sz w:val="20"/>
          <w:szCs w:val="20"/>
        </w:rPr>
        <w:t>Availability control</w:t>
      </w:r>
    </w:p>
    <w:p w:rsidR="00C245BE" w:rsidRDefault="00A06E1C">
      <w:pPr>
        <w:spacing w:after="0" w:line="240" w:lineRule="auto"/>
      </w:pPr>
      <w:r>
        <w:rPr>
          <w:i/>
          <w:sz w:val="20"/>
          <w:szCs w:val="20"/>
        </w:rPr>
        <w:t>Measures to ensure that personal data is protected against accidental destruction or loss.</w:t>
      </w:r>
    </w:p>
    <w:p w:rsidR="00C245BE" w:rsidRDefault="00C245BE">
      <w:pPr>
        <w:spacing w:after="0" w:line="240" w:lineRule="auto"/>
        <w:rPr>
          <w:i/>
          <w:sz w:val="20"/>
          <w:szCs w:val="20"/>
        </w:rPr>
      </w:pPr>
    </w:p>
    <w:p w:rsidR="00C245BE" w:rsidRDefault="00A06E1C">
      <w:pPr>
        <w:numPr>
          <w:ilvl w:val="0"/>
          <w:numId w:val="15"/>
        </w:numPr>
        <w:spacing w:after="0" w:line="252" w:lineRule="auto"/>
        <w:ind w:left="1440"/>
        <w:rPr>
          <w:sz w:val="21"/>
          <w:szCs w:val="21"/>
        </w:rPr>
      </w:pPr>
      <w:r>
        <w:rPr>
          <w:b/>
          <w:sz w:val="20"/>
          <w:szCs w:val="20"/>
        </w:rPr>
        <w:t>General measures</w:t>
      </w:r>
    </w:p>
    <w:p w:rsidR="00C245BE" w:rsidRDefault="00C245BE">
      <w:pPr>
        <w:spacing w:after="0" w:line="240" w:lineRule="auto"/>
        <w:rPr>
          <w:sz w:val="20"/>
          <w:szCs w:val="20"/>
        </w:rPr>
      </w:pPr>
    </w:p>
    <w:tbl>
      <w:tblPr>
        <w:tblStyle w:val="aa"/>
        <w:tblW w:w="8505" w:type="dxa"/>
        <w:tblInd w:w="-108" w:type="dxa"/>
        <w:tblLayout w:type="fixed"/>
        <w:tblLook w:val="0400" w:firstRow="0" w:lastRow="0" w:firstColumn="0" w:lastColumn="0" w:noHBand="0" w:noVBand="1"/>
      </w:tblPr>
      <w:tblGrid>
        <w:gridCol w:w="4253"/>
        <w:gridCol w:w="4252"/>
      </w:tblGrid>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Use of a spam filter</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Written backup and recovery concept</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Automatic regular data backup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Reasonably frequent backup of data</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Storage of backup media in a secure location</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Storage time for backups regulated in writing</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Fire and smoke detection systems</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Uninterruptible power supply</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Retention period for backups depend</w:t>
            </w:r>
            <w:r>
              <w:t>s on the deletion period of the backed-up data</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Further measures:</w:t>
            </w:r>
          </w:p>
        </w:tc>
      </w:tr>
    </w:tbl>
    <w:p w:rsidR="00C245BE" w:rsidRDefault="00C245BE">
      <w:pPr>
        <w:spacing w:after="0" w:line="240" w:lineRule="auto"/>
        <w:rPr>
          <w:sz w:val="20"/>
          <w:szCs w:val="20"/>
        </w:rPr>
      </w:pPr>
    </w:p>
    <w:p w:rsidR="00C245BE" w:rsidRDefault="00A06E1C">
      <w:pPr>
        <w:numPr>
          <w:ilvl w:val="0"/>
          <w:numId w:val="15"/>
        </w:numPr>
        <w:spacing w:after="0" w:line="252" w:lineRule="auto"/>
        <w:ind w:left="1440"/>
        <w:rPr>
          <w:sz w:val="21"/>
          <w:szCs w:val="21"/>
        </w:rPr>
      </w:pPr>
      <w:r>
        <w:rPr>
          <w:b/>
          <w:sz w:val="20"/>
          <w:szCs w:val="20"/>
        </w:rPr>
        <w:t>Measures regarding server rooms</w:t>
      </w:r>
    </w:p>
    <w:p w:rsidR="00C245BE" w:rsidRDefault="00C245BE">
      <w:pPr>
        <w:spacing w:after="0" w:line="240" w:lineRule="auto"/>
        <w:rPr>
          <w:sz w:val="20"/>
          <w:szCs w:val="20"/>
        </w:rPr>
      </w:pPr>
    </w:p>
    <w:tbl>
      <w:tblPr>
        <w:tblStyle w:val="ab"/>
        <w:tblW w:w="8507" w:type="dxa"/>
        <w:tblInd w:w="-108" w:type="dxa"/>
        <w:tblLayout w:type="fixed"/>
        <w:tblLook w:val="0400" w:firstRow="0" w:lastRow="0" w:firstColumn="0" w:lastColumn="0" w:noHBand="0" w:noVBand="1"/>
      </w:tblPr>
      <w:tblGrid>
        <w:gridCol w:w="4254"/>
        <w:gridCol w:w="4253"/>
      </w:tblGrid>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lastRenderedPageBreak/>
              <w:t>Fire and smoke detection systems</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Moisture monitoring</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Temperature monitoring</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Protective socket strips</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 xml:space="preserve">Air conditioning </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Uninterruptible power supply</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Hard disk mirroring</w:t>
            </w:r>
          </w:p>
          <w:p w:rsidR="00C245BE" w:rsidRDefault="00C245BE"/>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Alarm message in the event of unauthorized access</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No sanitary connections in or above the server room</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Separate partitions for operating systems and data</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Existence of an emergency plan (e.g. BSI IT-Grundschutz 100-4)</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Further measures:</w:t>
            </w:r>
          </w:p>
        </w:tc>
      </w:tr>
    </w:tbl>
    <w:p w:rsidR="00C245BE" w:rsidRDefault="00C245BE">
      <w:pPr>
        <w:spacing w:after="0" w:line="240" w:lineRule="auto"/>
        <w:rPr>
          <w:sz w:val="20"/>
          <w:szCs w:val="20"/>
        </w:rPr>
      </w:pPr>
    </w:p>
    <w:p w:rsidR="00C245BE" w:rsidRDefault="00A06E1C">
      <w:pPr>
        <w:numPr>
          <w:ilvl w:val="0"/>
          <w:numId w:val="21"/>
        </w:numPr>
        <w:spacing w:after="0" w:line="252" w:lineRule="auto"/>
        <w:ind w:left="1440"/>
        <w:rPr>
          <w:sz w:val="21"/>
          <w:szCs w:val="21"/>
        </w:rPr>
      </w:pPr>
      <w:r>
        <w:rPr>
          <w:b/>
          <w:sz w:val="20"/>
          <w:szCs w:val="20"/>
        </w:rPr>
        <w:t>Rapid recoverability (Art. 32 para. 1 lit. c GDPR)</w:t>
      </w:r>
    </w:p>
    <w:p w:rsidR="00C245BE" w:rsidRDefault="00A06E1C">
      <w:pPr>
        <w:spacing w:after="0" w:line="240" w:lineRule="auto"/>
      </w:pPr>
      <w:r>
        <w:rPr>
          <w:i/>
          <w:sz w:val="20"/>
          <w:szCs w:val="20"/>
        </w:rPr>
        <w:t>Measures to ensure that data can be restored quickly in the event of accidental destruction or accidental loss.</w:t>
      </w:r>
    </w:p>
    <w:p w:rsidR="00C245BE" w:rsidRDefault="00C245BE">
      <w:pPr>
        <w:spacing w:after="0" w:line="240" w:lineRule="auto"/>
        <w:rPr>
          <w:b/>
          <w:sz w:val="20"/>
          <w:szCs w:val="20"/>
        </w:rPr>
      </w:pPr>
    </w:p>
    <w:tbl>
      <w:tblPr>
        <w:tblStyle w:val="ac"/>
        <w:tblW w:w="8507" w:type="dxa"/>
        <w:tblInd w:w="-108" w:type="dxa"/>
        <w:tblLayout w:type="fixed"/>
        <w:tblLook w:val="0400" w:firstRow="0" w:lastRow="0" w:firstColumn="0" w:lastColumn="0" w:noHBand="0" w:noVBand="1"/>
      </w:tblPr>
      <w:tblGrid>
        <w:gridCol w:w="4254"/>
        <w:gridCol w:w="4253"/>
      </w:tblGrid>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Regular data recovery tests</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Logging the results of the data recovery tests</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Further measures:</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C245BE"/>
        </w:tc>
      </w:tr>
    </w:tbl>
    <w:p w:rsidR="00C245BE" w:rsidRDefault="00C245BE">
      <w:pPr>
        <w:spacing w:after="0" w:line="240" w:lineRule="auto"/>
        <w:rPr>
          <w:b/>
          <w:sz w:val="20"/>
          <w:szCs w:val="20"/>
        </w:rPr>
      </w:pPr>
    </w:p>
    <w:p w:rsidR="00C245BE" w:rsidRDefault="00A06E1C">
      <w:pPr>
        <w:numPr>
          <w:ilvl w:val="0"/>
          <w:numId w:val="5"/>
        </w:numPr>
        <w:spacing w:after="0" w:line="252" w:lineRule="auto"/>
        <w:ind w:left="1440"/>
        <w:rPr>
          <w:sz w:val="21"/>
          <w:szCs w:val="21"/>
        </w:rPr>
      </w:pPr>
      <w:r>
        <w:rPr>
          <w:b/>
          <w:sz w:val="20"/>
          <w:szCs w:val="20"/>
        </w:rPr>
        <w:t>Procedures for regular review, assessment and evaluation of the effectiveness of the TOMs to ensure the security of processing (Art. 32 (d) GDPR)</w:t>
      </w:r>
    </w:p>
    <w:p w:rsidR="00C245BE" w:rsidRDefault="00C245BE">
      <w:pPr>
        <w:spacing w:after="0" w:line="240" w:lineRule="auto"/>
        <w:rPr>
          <w:b/>
          <w:sz w:val="20"/>
          <w:szCs w:val="20"/>
        </w:rPr>
      </w:pPr>
    </w:p>
    <w:p w:rsidR="00C245BE" w:rsidRDefault="00A06E1C">
      <w:pPr>
        <w:numPr>
          <w:ilvl w:val="0"/>
          <w:numId w:val="16"/>
        </w:numPr>
        <w:spacing w:after="0" w:line="252" w:lineRule="auto"/>
        <w:ind w:left="1440"/>
        <w:rPr>
          <w:sz w:val="21"/>
          <w:szCs w:val="21"/>
        </w:rPr>
      </w:pPr>
      <w:r>
        <w:rPr>
          <w:b/>
          <w:sz w:val="20"/>
          <w:szCs w:val="20"/>
        </w:rPr>
        <w:t>Data protection management (Art. 25 para. 1 GDPR)</w:t>
      </w:r>
    </w:p>
    <w:p w:rsidR="00C245BE" w:rsidRDefault="00A06E1C">
      <w:pPr>
        <w:spacing w:after="0" w:line="240" w:lineRule="auto"/>
      </w:pPr>
      <w:r>
        <w:rPr>
          <w:i/>
          <w:sz w:val="20"/>
          <w:szCs w:val="20"/>
        </w:rPr>
        <w:t>Measures to ensure that all data prote</w:t>
      </w:r>
      <w:r>
        <w:rPr>
          <w:i/>
          <w:sz w:val="20"/>
          <w:szCs w:val="20"/>
        </w:rPr>
        <w:t>ction requirements are always met.</w:t>
      </w:r>
    </w:p>
    <w:p w:rsidR="00C245BE" w:rsidRDefault="00C245BE">
      <w:pPr>
        <w:spacing w:after="0" w:line="240" w:lineRule="auto"/>
        <w:rPr>
          <w:i/>
          <w:sz w:val="20"/>
          <w:szCs w:val="20"/>
        </w:rPr>
      </w:pPr>
    </w:p>
    <w:tbl>
      <w:tblPr>
        <w:tblStyle w:val="ad"/>
        <w:tblW w:w="8505" w:type="dxa"/>
        <w:tblInd w:w="-108" w:type="dxa"/>
        <w:tblLayout w:type="fixed"/>
        <w:tblLook w:val="0400" w:firstRow="0" w:lastRow="0" w:firstColumn="0" w:lastColumn="0" w:noHBand="0" w:noVBand="1"/>
      </w:tblPr>
      <w:tblGrid>
        <w:gridCol w:w="4253"/>
        <w:gridCol w:w="4252"/>
      </w:tblGrid>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Software solutions for data protection management in use</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Written data protection and data security concept in place</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Central documentation of all procedural instructions and regulations on data protection, available to employees at any time (as required/authorized)</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At least annual review of the effectiveness of the protective measures; if necessary, the protective measur</w:t>
            </w:r>
            <w:r>
              <w:t>es are adjusted</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Documentation of the review of the effectiveness of the protective measures</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Certification available</w:t>
            </w:r>
          </w:p>
          <w:p w:rsidR="00C245BE" w:rsidRDefault="00C245BE"/>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 xml:space="preserve">Existence of a processing directory in accordance with Art. 30 para. 2 GDPR </w:t>
            </w:r>
          </w:p>
          <w:p w:rsidR="00C245BE" w:rsidRDefault="00A06E1C">
            <w:r>
              <w:t>- Currently still in progress</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Regular review and updating of</w:t>
            </w:r>
            <w:r>
              <w:t xml:space="preserve"> the processing directory</w:t>
            </w:r>
          </w:p>
          <w:p w:rsidR="00C245BE" w:rsidRDefault="00A06E1C">
            <w:pPr>
              <w:rPr>
                <w:sz w:val="24"/>
                <w:szCs w:val="24"/>
              </w:rPr>
            </w:pPr>
            <w:r>
              <w:t xml:space="preserve">- </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Regular training of all employees (data protection and data security)</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All employees are bound to confidentiality/data secrecy or are subject to a legal duty of confidentiality</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If required by law, the data protection impact as</w:t>
            </w:r>
            <w:r>
              <w:t>sessment is carried out in accordance with Art. 35 GDPR</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Further measures:</w:t>
            </w:r>
          </w:p>
        </w:tc>
      </w:tr>
    </w:tbl>
    <w:p w:rsidR="00C245BE" w:rsidRDefault="00C245BE">
      <w:pPr>
        <w:spacing w:after="0" w:line="240" w:lineRule="auto"/>
        <w:rPr>
          <w:sz w:val="20"/>
          <w:szCs w:val="20"/>
        </w:rPr>
      </w:pPr>
    </w:p>
    <w:p w:rsidR="00C245BE" w:rsidRDefault="00A06E1C">
      <w:pPr>
        <w:numPr>
          <w:ilvl w:val="0"/>
          <w:numId w:val="16"/>
        </w:numPr>
        <w:spacing w:after="0" w:line="252" w:lineRule="auto"/>
        <w:ind w:left="1440"/>
        <w:rPr>
          <w:sz w:val="21"/>
          <w:szCs w:val="21"/>
        </w:rPr>
      </w:pPr>
      <w:r>
        <w:rPr>
          <w:b/>
          <w:sz w:val="20"/>
          <w:szCs w:val="20"/>
        </w:rPr>
        <w:t>Incident-Response-Management</w:t>
      </w:r>
    </w:p>
    <w:p w:rsidR="00C245BE" w:rsidRDefault="00A06E1C">
      <w:pPr>
        <w:spacing w:after="0" w:line="240" w:lineRule="auto"/>
      </w:pPr>
      <w:r>
        <w:rPr>
          <w:i/>
          <w:sz w:val="20"/>
          <w:szCs w:val="20"/>
        </w:rPr>
        <w:t>Measures to ensure a rapid and appropriate response to security breaches.</w:t>
      </w:r>
    </w:p>
    <w:p w:rsidR="00C245BE" w:rsidRDefault="00C245BE">
      <w:pPr>
        <w:spacing w:after="0" w:line="240" w:lineRule="auto"/>
        <w:rPr>
          <w:i/>
          <w:sz w:val="20"/>
          <w:szCs w:val="20"/>
        </w:rPr>
      </w:pPr>
    </w:p>
    <w:tbl>
      <w:tblPr>
        <w:tblStyle w:val="ae"/>
        <w:tblW w:w="8505" w:type="dxa"/>
        <w:tblInd w:w="-108" w:type="dxa"/>
        <w:tblLayout w:type="fixed"/>
        <w:tblLook w:val="0400" w:firstRow="0" w:lastRow="0" w:firstColumn="0" w:lastColumn="0" w:noHBand="0" w:noVBand="1"/>
      </w:tblPr>
      <w:tblGrid>
        <w:gridCol w:w="4253"/>
        <w:gridCol w:w="4252"/>
      </w:tblGrid>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Process for detecting and reporting security incidents and potential data protection breaches</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Formal process and clear regulation of responsibilities for the follow-up of security incidents and data protection violations</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Regular checks of the selected fil</w:t>
            </w:r>
            <w:r>
              <w:t>es / logged attack attempts for automated protection installations</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Documentation of all security incidents and data protection breaches</w:t>
            </w:r>
          </w:p>
          <w:p w:rsidR="00C245BE" w:rsidRDefault="00C245BE"/>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Regulation of responsibility for reporting security incidents and data protection breaches to the controller</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Further m</w:t>
            </w:r>
            <w:r>
              <w:t>easures:</w:t>
            </w:r>
          </w:p>
        </w:tc>
      </w:tr>
    </w:tbl>
    <w:p w:rsidR="00C245BE" w:rsidRDefault="00C245BE">
      <w:pPr>
        <w:spacing w:after="0" w:line="240" w:lineRule="auto"/>
        <w:rPr>
          <w:sz w:val="20"/>
          <w:szCs w:val="20"/>
        </w:rPr>
      </w:pPr>
    </w:p>
    <w:p w:rsidR="00C245BE" w:rsidRDefault="00A06E1C">
      <w:pPr>
        <w:numPr>
          <w:ilvl w:val="0"/>
          <w:numId w:val="16"/>
        </w:numPr>
        <w:spacing w:after="0" w:line="252" w:lineRule="auto"/>
        <w:ind w:left="1440"/>
        <w:rPr>
          <w:sz w:val="21"/>
          <w:szCs w:val="21"/>
        </w:rPr>
      </w:pPr>
      <w:r>
        <w:rPr>
          <w:b/>
          <w:sz w:val="20"/>
          <w:szCs w:val="20"/>
        </w:rPr>
        <w:t>Data protection-friendly default settings (Art. 25 para. 2 GDPR)</w:t>
      </w:r>
    </w:p>
    <w:p w:rsidR="00C245BE" w:rsidRDefault="00A06E1C">
      <w:pPr>
        <w:spacing w:after="0" w:line="240" w:lineRule="auto"/>
      </w:pPr>
      <w:r>
        <w:rPr>
          <w:i/>
          <w:sz w:val="20"/>
          <w:szCs w:val="20"/>
        </w:rPr>
        <w:t>Measures to ensure that the principles of privacy by design and privacy by default are complied with.</w:t>
      </w:r>
    </w:p>
    <w:p w:rsidR="00C245BE" w:rsidRDefault="00C245BE">
      <w:pPr>
        <w:spacing w:after="0" w:line="240" w:lineRule="auto"/>
        <w:rPr>
          <w:sz w:val="20"/>
          <w:szCs w:val="20"/>
        </w:rPr>
      </w:pPr>
    </w:p>
    <w:tbl>
      <w:tblPr>
        <w:tblStyle w:val="af"/>
        <w:tblW w:w="8505" w:type="dxa"/>
        <w:tblInd w:w="-108" w:type="dxa"/>
        <w:tblLayout w:type="fixed"/>
        <w:tblLook w:val="0400" w:firstRow="0" w:lastRow="0" w:firstColumn="0" w:lastColumn="0" w:noHBand="0" w:noVBand="1"/>
      </w:tblPr>
      <w:tblGrid>
        <w:gridCol w:w="4253"/>
        <w:gridCol w:w="4252"/>
      </w:tblGrid>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No more personal data is collected than is necessary for the respective purpo</w:t>
            </w:r>
            <w:r>
              <w:t>se</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Simple exercise of data subject rights possible</w:t>
            </w:r>
          </w:p>
        </w:tc>
      </w:tr>
      <w:tr w:rsidR="00C245BE">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Automatic deletion of data ensured once the purpose no longer applies</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Further measures:</w:t>
            </w:r>
          </w:p>
        </w:tc>
      </w:tr>
    </w:tbl>
    <w:p w:rsidR="00C245BE" w:rsidRDefault="00C245BE">
      <w:pPr>
        <w:spacing w:after="0" w:line="240" w:lineRule="auto"/>
        <w:rPr>
          <w:sz w:val="20"/>
          <w:szCs w:val="20"/>
        </w:rPr>
      </w:pPr>
    </w:p>
    <w:p w:rsidR="00C245BE" w:rsidRDefault="00A06E1C">
      <w:pPr>
        <w:numPr>
          <w:ilvl w:val="0"/>
          <w:numId w:val="16"/>
        </w:numPr>
        <w:spacing w:after="0" w:line="252" w:lineRule="auto"/>
        <w:ind w:left="1440"/>
        <w:rPr>
          <w:sz w:val="21"/>
          <w:szCs w:val="21"/>
        </w:rPr>
      </w:pPr>
      <w:r>
        <w:rPr>
          <w:b/>
          <w:sz w:val="20"/>
          <w:szCs w:val="20"/>
        </w:rPr>
        <w:t>Order control</w:t>
      </w:r>
    </w:p>
    <w:p w:rsidR="00C245BE" w:rsidRDefault="00A06E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jc w:val="both"/>
        <w:rPr>
          <w:color w:val="000000"/>
          <w:sz w:val="24"/>
          <w:szCs w:val="24"/>
        </w:rPr>
      </w:pPr>
      <w:r>
        <w:rPr>
          <w:i/>
          <w:sz w:val="20"/>
          <w:szCs w:val="20"/>
        </w:rPr>
        <w:t>Measures to ensure that personal data processed on behalf of the client can only be processed in accordance with the client's instructions.</w:t>
      </w:r>
    </w:p>
    <w:p w:rsidR="00C245BE" w:rsidRDefault="00C245B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jc w:val="both"/>
        <w:rPr>
          <w:i/>
          <w:color w:val="000000"/>
          <w:sz w:val="20"/>
          <w:szCs w:val="20"/>
        </w:rPr>
      </w:pPr>
    </w:p>
    <w:tbl>
      <w:tblPr>
        <w:tblStyle w:val="af0"/>
        <w:tblW w:w="8507" w:type="dxa"/>
        <w:tblInd w:w="-108" w:type="dxa"/>
        <w:tblLayout w:type="fixed"/>
        <w:tblLook w:val="0400" w:firstRow="0" w:lastRow="0" w:firstColumn="0" w:lastColumn="0" w:noHBand="0" w:noVBand="1"/>
      </w:tblPr>
      <w:tblGrid>
        <w:gridCol w:w="4254"/>
        <w:gridCol w:w="4253"/>
      </w:tblGrid>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Careful selection of subcontractors with regard to data protection and data security</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 xml:space="preserve">Written rules on what must be </w:t>
            </w:r>
            <w:r>
              <w:t>observed when selecting subcontractors</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Documentation of the selection process</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Authority to issue instructions is clearly defined</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Conclusion of the necessary contracts (order processing contract or standard contractual clauses) is ensured by appropriate guidelines</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Data processing agreements comply with the requirements of Art. 28 GDPR</w:t>
            </w:r>
          </w:p>
          <w:p w:rsidR="00C245BE" w:rsidRDefault="00C245BE"/>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Agreement of on-site inspections at the subcont</w:t>
            </w:r>
            <w:r>
              <w:t>ractor</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Ongoing, regular review of the sub-provider and its level of protection</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The use of other service providers by the subcontractor is prevented</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The subcontractor may, in turn, use other service providers</w:t>
            </w:r>
          </w:p>
        </w:tc>
      </w:tr>
      <w:tr w:rsidR="00C245BE">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All requirements from the data processing agre</w:t>
            </w:r>
            <w:r>
              <w:t>ement with the controller are also contractually agreed with the subcontractor</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245BE" w:rsidRDefault="00A06E1C">
            <w:r>
              <w:t>Further measures:</w:t>
            </w:r>
          </w:p>
        </w:tc>
      </w:tr>
    </w:tbl>
    <w:p w:rsidR="00C245BE" w:rsidRDefault="00C245B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jc w:val="both"/>
        <w:rPr>
          <w:color w:val="000000"/>
          <w:sz w:val="24"/>
          <w:szCs w:val="24"/>
        </w:rPr>
      </w:pPr>
    </w:p>
    <w:p w:rsidR="00C245BE" w:rsidRDefault="00A06E1C">
      <w:r>
        <w:br w:type="page"/>
      </w:r>
    </w:p>
    <w:p w:rsidR="00C245BE" w:rsidRDefault="00A06E1C">
      <w:pPr>
        <w:spacing w:after="0" w:line="240" w:lineRule="auto"/>
        <w:jc w:val="center"/>
        <w:rPr>
          <w:b/>
        </w:rPr>
      </w:pPr>
      <w:r>
        <w:rPr>
          <w:b/>
        </w:rPr>
        <w:lastRenderedPageBreak/>
        <w:t>Appendix 2</w:t>
      </w:r>
    </w:p>
    <w:p w:rsidR="00C245BE" w:rsidRDefault="00A06E1C">
      <w:pPr>
        <w:spacing w:after="0" w:line="240" w:lineRule="auto"/>
        <w:jc w:val="center"/>
        <w:rPr>
          <w:b/>
        </w:rPr>
      </w:pPr>
      <w:r>
        <w:rPr>
          <w:b/>
        </w:rPr>
        <w:t>List of subcontractors</w:t>
      </w:r>
    </w:p>
    <w:p w:rsidR="00C245BE" w:rsidRDefault="00C245BE">
      <w:pPr>
        <w:spacing w:after="0" w:line="240" w:lineRule="auto"/>
        <w:jc w:val="both"/>
      </w:pPr>
    </w:p>
    <w:p w:rsidR="00C245BE" w:rsidRDefault="00C245BE">
      <w:pPr>
        <w:spacing w:after="0" w:line="240" w:lineRule="auto"/>
        <w:jc w:val="both"/>
      </w:pPr>
    </w:p>
    <w:tbl>
      <w:tblPr>
        <w:tblStyle w:val="af1"/>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C245BE">
        <w:tc>
          <w:tcPr>
            <w:tcW w:w="3020" w:type="dxa"/>
            <w:shd w:val="clear" w:color="auto" w:fill="D9D9D9"/>
          </w:tcPr>
          <w:p w:rsidR="00C245BE" w:rsidRDefault="00C245BE">
            <w:pPr>
              <w:jc w:val="both"/>
              <w:rPr>
                <w:b/>
              </w:rPr>
            </w:pPr>
          </w:p>
          <w:p w:rsidR="00C245BE" w:rsidRDefault="00A06E1C">
            <w:pPr>
              <w:jc w:val="both"/>
              <w:rPr>
                <w:b/>
              </w:rPr>
            </w:pPr>
            <w:r>
              <w:rPr>
                <w:b/>
              </w:rPr>
              <w:t>Subcontractor</w:t>
            </w:r>
          </w:p>
          <w:p w:rsidR="00C245BE" w:rsidRDefault="00C245BE">
            <w:pPr>
              <w:jc w:val="both"/>
              <w:rPr>
                <w:b/>
              </w:rPr>
            </w:pPr>
          </w:p>
        </w:tc>
        <w:tc>
          <w:tcPr>
            <w:tcW w:w="3020" w:type="dxa"/>
            <w:shd w:val="clear" w:color="auto" w:fill="D9D9D9"/>
          </w:tcPr>
          <w:p w:rsidR="00C245BE" w:rsidRDefault="00C245BE">
            <w:pPr>
              <w:jc w:val="both"/>
              <w:rPr>
                <w:b/>
              </w:rPr>
            </w:pPr>
          </w:p>
          <w:p w:rsidR="00C245BE" w:rsidRDefault="00A06E1C">
            <w:pPr>
              <w:jc w:val="both"/>
              <w:rPr>
                <w:b/>
              </w:rPr>
            </w:pPr>
            <w:r>
              <w:rPr>
                <w:b/>
              </w:rPr>
              <w:t>Address / Country</w:t>
            </w:r>
          </w:p>
          <w:p w:rsidR="00C245BE" w:rsidRDefault="00C245BE">
            <w:pPr>
              <w:jc w:val="both"/>
              <w:rPr>
                <w:b/>
              </w:rPr>
            </w:pPr>
          </w:p>
        </w:tc>
        <w:tc>
          <w:tcPr>
            <w:tcW w:w="3020" w:type="dxa"/>
            <w:shd w:val="clear" w:color="auto" w:fill="D9D9D9"/>
          </w:tcPr>
          <w:p w:rsidR="00C245BE" w:rsidRDefault="00C245BE">
            <w:pPr>
              <w:jc w:val="both"/>
              <w:rPr>
                <w:b/>
              </w:rPr>
            </w:pPr>
          </w:p>
          <w:p w:rsidR="00C245BE" w:rsidRDefault="00A06E1C">
            <w:pPr>
              <w:jc w:val="both"/>
              <w:rPr>
                <w:b/>
              </w:rPr>
            </w:pPr>
            <w:r>
              <w:rPr>
                <w:b/>
              </w:rPr>
              <w:t>Service</w:t>
            </w:r>
          </w:p>
          <w:p w:rsidR="00C245BE" w:rsidRDefault="00C245BE">
            <w:pPr>
              <w:jc w:val="both"/>
              <w:rPr>
                <w:b/>
              </w:rPr>
            </w:pPr>
          </w:p>
        </w:tc>
      </w:tr>
      <w:tr w:rsidR="00C245BE">
        <w:trPr>
          <w:trHeight w:val="567"/>
        </w:trPr>
        <w:tc>
          <w:tcPr>
            <w:tcW w:w="3020" w:type="dxa"/>
            <w:shd w:val="clear" w:color="auto" w:fill="DEEBF6"/>
          </w:tcPr>
          <w:p w:rsidR="00C245BE" w:rsidRDefault="00A06E1C">
            <w:pPr>
              <w:jc w:val="both"/>
            </w:pPr>
            <w:r>
              <w:t>Microsoft</w:t>
            </w:r>
          </w:p>
        </w:tc>
        <w:tc>
          <w:tcPr>
            <w:tcW w:w="3020" w:type="dxa"/>
            <w:shd w:val="clear" w:color="auto" w:fill="DEEBF6"/>
          </w:tcPr>
          <w:p w:rsidR="00C245BE" w:rsidRDefault="00A06E1C">
            <w:pPr>
              <w:jc w:val="both"/>
            </w:pPr>
            <w:r>
              <w:t>Unter den Linden 17, 10117 Berlin</w:t>
            </w:r>
          </w:p>
        </w:tc>
        <w:tc>
          <w:tcPr>
            <w:tcW w:w="3020" w:type="dxa"/>
            <w:shd w:val="clear" w:color="auto" w:fill="DEEBF6"/>
          </w:tcPr>
          <w:p w:rsidR="00C245BE" w:rsidRDefault="00A06E1C">
            <w:pPr>
              <w:jc w:val="both"/>
            </w:pPr>
            <w:r>
              <w:t>Server-Hosting, Azure-Blob Storage</w:t>
            </w:r>
          </w:p>
        </w:tc>
      </w:tr>
      <w:tr w:rsidR="00C245BE">
        <w:trPr>
          <w:trHeight w:val="567"/>
        </w:trPr>
        <w:tc>
          <w:tcPr>
            <w:tcW w:w="3020" w:type="dxa"/>
            <w:shd w:val="clear" w:color="auto" w:fill="DEEBF6"/>
          </w:tcPr>
          <w:p w:rsidR="00C245BE" w:rsidRDefault="00C245BE">
            <w:pPr>
              <w:jc w:val="both"/>
            </w:pPr>
          </w:p>
        </w:tc>
        <w:tc>
          <w:tcPr>
            <w:tcW w:w="3020" w:type="dxa"/>
            <w:shd w:val="clear" w:color="auto" w:fill="DEEBF6"/>
          </w:tcPr>
          <w:p w:rsidR="00C245BE" w:rsidRDefault="00C245BE">
            <w:pPr>
              <w:jc w:val="both"/>
            </w:pPr>
          </w:p>
        </w:tc>
        <w:tc>
          <w:tcPr>
            <w:tcW w:w="3020" w:type="dxa"/>
            <w:shd w:val="clear" w:color="auto" w:fill="DEEBF6"/>
          </w:tcPr>
          <w:p w:rsidR="00C245BE" w:rsidRDefault="00C245BE">
            <w:pPr>
              <w:jc w:val="both"/>
            </w:pPr>
          </w:p>
        </w:tc>
      </w:tr>
      <w:tr w:rsidR="00C245BE">
        <w:trPr>
          <w:trHeight w:val="567"/>
        </w:trPr>
        <w:tc>
          <w:tcPr>
            <w:tcW w:w="3020" w:type="dxa"/>
            <w:shd w:val="clear" w:color="auto" w:fill="DEEBF6"/>
          </w:tcPr>
          <w:p w:rsidR="00C245BE" w:rsidRDefault="00C245BE">
            <w:pPr>
              <w:jc w:val="both"/>
            </w:pPr>
          </w:p>
        </w:tc>
        <w:tc>
          <w:tcPr>
            <w:tcW w:w="3020" w:type="dxa"/>
            <w:shd w:val="clear" w:color="auto" w:fill="DEEBF6"/>
          </w:tcPr>
          <w:p w:rsidR="00C245BE" w:rsidRDefault="00C245BE">
            <w:pPr>
              <w:jc w:val="both"/>
            </w:pPr>
          </w:p>
        </w:tc>
        <w:tc>
          <w:tcPr>
            <w:tcW w:w="3020" w:type="dxa"/>
            <w:shd w:val="clear" w:color="auto" w:fill="DEEBF6"/>
          </w:tcPr>
          <w:p w:rsidR="00C245BE" w:rsidRDefault="00C245BE">
            <w:pPr>
              <w:jc w:val="both"/>
            </w:pPr>
          </w:p>
        </w:tc>
      </w:tr>
      <w:tr w:rsidR="00C245BE">
        <w:trPr>
          <w:trHeight w:val="567"/>
        </w:trPr>
        <w:tc>
          <w:tcPr>
            <w:tcW w:w="3020" w:type="dxa"/>
            <w:shd w:val="clear" w:color="auto" w:fill="DEEBF6"/>
          </w:tcPr>
          <w:p w:rsidR="00C245BE" w:rsidRDefault="00C245BE">
            <w:pPr>
              <w:jc w:val="both"/>
            </w:pPr>
          </w:p>
        </w:tc>
        <w:tc>
          <w:tcPr>
            <w:tcW w:w="3020" w:type="dxa"/>
            <w:shd w:val="clear" w:color="auto" w:fill="DEEBF6"/>
          </w:tcPr>
          <w:p w:rsidR="00C245BE" w:rsidRDefault="00C245BE">
            <w:pPr>
              <w:jc w:val="both"/>
            </w:pPr>
          </w:p>
        </w:tc>
        <w:tc>
          <w:tcPr>
            <w:tcW w:w="3020" w:type="dxa"/>
            <w:shd w:val="clear" w:color="auto" w:fill="DEEBF6"/>
          </w:tcPr>
          <w:p w:rsidR="00C245BE" w:rsidRDefault="00C245BE">
            <w:pPr>
              <w:jc w:val="both"/>
            </w:pPr>
          </w:p>
        </w:tc>
      </w:tr>
      <w:tr w:rsidR="00C245BE">
        <w:trPr>
          <w:trHeight w:val="567"/>
        </w:trPr>
        <w:tc>
          <w:tcPr>
            <w:tcW w:w="3020" w:type="dxa"/>
            <w:shd w:val="clear" w:color="auto" w:fill="DEEBF6"/>
          </w:tcPr>
          <w:p w:rsidR="00C245BE" w:rsidRDefault="00C245BE">
            <w:pPr>
              <w:jc w:val="both"/>
            </w:pPr>
          </w:p>
        </w:tc>
        <w:tc>
          <w:tcPr>
            <w:tcW w:w="3020" w:type="dxa"/>
            <w:shd w:val="clear" w:color="auto" w:fill="DEEBF6"/>
          </w:tcPr>
          <w:p w:rsidR="00C245BE" w:rsidRDefault="00C245BE">
            <w:pPr>
              <w:jc w:val="both"/>
            </w:pPr>
          </w:p>
        </w:tc>
        <w:tc>
          <w:tcPr>
            <w:tcW w:w="3020" w:type="dxa"/>
            <w:shd w:val="clear" w:color="auto" w:fill="DEEBF6"/>
          </w:tcPr>
          <w:p w:rsidR="00C245BE" w:rsidRDefault="00C245BE">
            <w:pPr>
              <w:jc w:val="both"/>
            </w:pPr>
          </w:p>
        </w:tc>
      </w:tr>
      <w:tr w:rsidR="00C245BE">
        <w:trPr>
          <w:trHeight w:val="567"/>
        </w:trPr>
        <w:tc>
          <w:tcPr>
            <w:tcW w:w="3020" w:type="dxa"/>
            <w:shd w:val="clear" w:color="auto" w:fill="DEEBF6"/>
          </w:tcPr>
          <w:p w:rsidR="00C245BE" w:rsidRDefault="00C245BE">
            <w:pPr>
              <w:jc w:val="both"/>
            </w:pPr>
          </w:p>
        </w:tc>
        <w:tc>
          <w:tcPr>
            <w:tcW w:w="3020" w:type="dxa"/>
            <w:shd w:val="clear" w:color="auto" w:fill="DEEBF6"/>
          </w:tcPr>
          <w:p w:rsidR="00C245BE" w:rsidRDefault="00C245BE">
            <w:pPr>
              <w:jc w:val="both"/>
            </w:pPr>
          </w:p>
        </w:tc>
        <w:tc>
          <w:tcPr>
            <w:tcW w:w="3020" w:type="dxa"/>
            <w:shd w:val="clear" w:color="auto" w:fill="DEEBF6"/>
          </w:tcPr>
          <w:p w:rsidR="00C245BE" w:rsidRDefault="00C245BE">
            <w:pPr>
              <w:jc w:val="both"/>
            </w:pPr>
          </w:p>
        </w:tc>
      </w:tr>
    </w:tbl>
    <w:p w:rsidR="00C245BE" w:rsidRDefault="00C245BE"/>
    <w:p w:rsidR="00C245BE" w:rsidRDefault="00C245BE"/>
    <w:p w:rsidR="00C245BE" w:rsidRDefault="00A06E1C">
      <w:r>
        <w:rPr>
          <w:b/>
        </w:rPr>
        <w:t>Assessment of US data transfers Microsoft:</w:t>
      </w:r>
    </w:p>
    <w:p w:rsidR="00C245BE" w:rsidRDefault="00A06E1C">
      <w:r>
        <w:rPr>
          <w:b/>
        </w:rPr>
        <w:t>Risks arising from US security regulations:</w:t>
      </w:r>
      <w:r>
        <w:t xml:space="preserve"> Foreign Intelligence Surveillance Act (FISA), Section 702: Under Section 702 of FISA, the United States government may compel "providers of electronic communication services" to disclose information about non-U.S. citizens located outside the United State</w:t>
      </w:r>
      <w:r>
        <w:t>s in order to obtain information for foreign intelligence purposes. EO 12333 and Presidential Policy Directive 28 ("PPD-28"): Under EO 12333, U.S. intelligence agencies (such as the U.S. National Security Agency) may conduct surveillance outside the United</w:t>
      </w:r>
      <w:r>
        <w:t xml:space="preserve"> States. Specifically, U.S. intelligence agencies are authorized to collect foreign "signals intelligence," i.e., information derived from communications and other data transmitted or accessible by radio, wire, and other electromagnetic means.</w:t>
      </w:r>
    </w:p>
    <w:p w:rsidR="00C245BE" w:rsidRDefault="00A06E1C">
      <w:pPr>
        <w:rPr>
          <w:rFonts w:ascii="Open Sans" w:eastAsia="Open Sans" w:hAnsi="Open Sans" w:cs="Open Sans"/>
          <w:sz w:val="20"/>
          <w:szCs w:val="20"/>
          <w:u w:val="single"/>
        </w:rPr>
      </w:pPr>
      <w:r>
        <w:rPr>
          <w:b/>
        </w:rPr>
        <w:t>Risk level f</w:t>
      </w:r>
      <w:r>
        <w:rPr>
          <w:b/>
        </w:rPr>
        <w:t>or the persons concerned:</w:t>
      </w:r>
      <w:r>
        <w:t xml:space="preserve"> Microsoft Deutschland GmbH is a European subsidiary of Microsoft from the USA. Access from the USA can therefore not be ruled out. The contractor only processes the following data from [COMPANY]:</w:t>
      </w:r>
    </w:p>
    <w:p w:rsidR="00C245BE" w:rsidRDefault="00A06E1C">
      <w:pPr>
        <w:numPr>
          <w:ilvl w:val="1"/>
          <w:numId w:val="1"/>
        </w:numPr>
        <w:spacing w:after="0" w:line="240" w:lineRule="auto"/>
        <w:rPr>
          <w:rFonts w:ascii="Open Sans" w:eastAsia="Open Sans" w:hAnsi="Open Sans" w:cs="Open Sans"/>
          <w:sz w:val="20"/>
          <w:szCs w:val="20"/>
        </w:rPr>
      </w:pPr>
      <w:r>
        <w:rPr>
          <w:rFonts w:ascii="Open Sans" w:eastAsia="Open Sans" w:hAnsi="Open Sans" w:cs="Open Sans"/>
          <w:sz w:val="20"/>
          <w:szCs w:val="20"/>
        </w:rPr>
        <w:t>Name (first name, surname)</w:t>
      </w:r>
    </w:p>
    <w:p w:rsidR="00C245BE" w:rsidRDefault="00A06E1C">
      <w:pPr>
        <w:numPr>
          <w:ilvl w:val="1"/>
          <w:numId w:val="1"/>
        </w:numPr>
        <w:spacing w:after="0" w:line="240" w:lineRule="auto"/>
        <w:rPr>
          <w:rFonts w:ascii="Open Sans" w:eastAsia="Open Sans" w:hAnsi="Open Sans" w:cs="Open Sans"/>
          <w:sz w:val="20"/>
          <w:szCs w:val="20"/>
        </w:rPr>
      </w:pPr>
      <w:r>
        <w:rPr>
          <w:rFonts w:ascii="Open Sans" w:eastAsia="Open Sans" w:hAnsi="Open Sans" w:cs="Open Sans"/>
          <w:sz w:val="20"/>
          <w:szCs w:val="20"/>
        </w:rPr>
        <w:t>Telephone number</w:t>
      </w:r>
    </w:p>
    <w:p w:rsidR="00C245BE" w:rsidRDefault="00A06E1C">
      <w:pPr>
        <w:numPr>
          <w:ilvl w:val="1"/>
          <w:numId w:val="1"/>
        </w:numPr>
        <w:spacing w:after="0" w:line="240" w:lineRule="auto"/>
        <w:rPr>
          <w:rFonts w:ascii="Open Sans" w:eastAsia="Open Sans" w:hAnsi="Open Sans" w:cs="Open Sans"/>
          <w:sz w:val="20"/>
          <w:szCs w:val="20"/>
        </w:rPr>
      </w:pPr>
      <w:r>
        <w:rPr>
          <w:rFonts w:ascii="Open Sans" w:eastAsia="Open Sans" w:hAnsi="Open Sans" w:cs="Open Sans"/>
          <w:sz w:val="20"/>
          <w:szCs w:val="20"/>
        </w:rPr>
        <w:t>e-mail address</w:t>
      </w:r>
    </w:p>
    <w:p w:rsidR="00C245BE" w:rsidRDefault="00A06E1C">
      <w:pPr>
        <w:numPr>
          <w:ilvl w:val="1"/>
          <w:numId w:val="1"/>
        </w:numPr>
        <w:spacing w:after="0" w:line="240" w:lineRule="auto"/>
        <w:rPr>
          <w:rFonts w:ascii="Open Sans" w:eastAsia="Open Sans" w:hAnsi="Open Sans" w:cs="Open Sans"/>
          <w:sz w:val="20"/>
          <w:szCs w:val="20"/>
        </w:rPr>
      </w:pPr>
      <w:r>
        <w:rPr>
          <w:rFonts w:ascii="Open Sans" w:eastAsia="Open Sans" w:hAnsi="Open Sans" w:cs="Open Sans"/>
          <w:sz w:val="20"/>
          <w:szCs w:val="20"/>
        </w:rPr>
        <w:t>Profile picture</w:t>
      </w:r>
    </w:p>
    <w:p w:rsidR="00C245BE" w:rsidRDefault="00A06E1C">
      <w:r>
        <w:t>Typically, no information is processed where there is a suspicion that knowledge of the US security authorities poses particular risks for users.</w:t>
      </w:r>
    </w:p>
    <w:p w:rsidR="00C245BE" w:rsidRDefault="00C245BE"/>
    <w:p w:rsidR="00C245BE" w:rsidRDefault="00A06E1C">
      <w:r>
        <w:rPr>
          <w:b/>
        </w:rPr>
        <w:t>Basis for data transfer to the USA:</w:t>
      </w:r>
      <w:r>
        <w:t xml:space="preserve"> EU standard contractual c</w:t>
      </w:r>
      <w:r>
        <w:t>lauses from Microsoft:</w:t>
      </w:r>
      <w:hyperlink r:id="rId7">
        <w:r>
          <w:rPr>
            <w:color w:val="1155CC"/>
            <w:u w:val="single"/>
          </w:rPr>
          <w:t>https://learn.microsoft.com/de-de/compliance/regulatory/offering-eu-model-clauses</w:t>
        </w:r>
      </w:hyperlink>
      <w:r>
        <w:t xml:space="preserve"> or Transatlantic Privacy Framework</w:t>
      </w:r>
    </w:p>
    <w:p w:rsidR="00C245BE" w:rsidRDefault="00A06E1C">
      <w:r>
        <w:rPr>
          <w:b/>
        </w:rPr>
        <w:lastRenderedPageBreak/>
        <w:t>Technical securi</w:t>
      </w:r>
      <w:r>
        <w:rPr>
          <w:b/>
        </w:rPr>
        <w:t xml:space="preserve">ty measures:  </w:t>
      </w:r>
      <w:r>
        <w:t>The "supplementary measures" of Elara Digital GmbH are attached to this contract as Annex 2a.</w:t>
      </w:r>
    </w:p>
    <w:p w:rsidR="00C245BE" w:rsidRDefault="00A06E1C">
      <w:pPr>
        <w:rPr>
          <w:b/>
        </w:rPr>
      </w:pPr>
      <w:r>
        <w:rPr>
          <w:b/>
        </w:rPr>
        <w:t xml:space="preserve">Organizational measures: </w:t>
      </w:r>
      <w:r>
        <w:t>The "supplementary measures" of Elara Digital GmbH are attached to this contract as Annex 2a.</w:t>
      </w:r>
    </w:p>
    <w:p w:rsidR="00C245BE" w:rsidRDefault="00A06E1C">
      <w:pPr>
        <w:spacing w:after="0" w:line="240" w:lineRule="auto"/>
        <w:jc w:val="center"/>
      </w:pPr>
      <w:r>
        <w:rPr>
          <w:b/>
        </w:rPr>
        <w:t>Appendix 2a</w:t>
      </w:r>
    </w:p>
    <w:p w:rsidR="00C245BE" w:rsidRDefault="00C245BE"/>
    <w:p w:rsidR="00C245BE" w:rsidRDefault="00A06E1C">
      <w:r>
        <w:rPr>
          <w:b/>
        </w:rPr>
        <w:t>Technical safety precautions:</w:t>
      </w:r>
    </w:p>
    <w:p w:rsidR="00C245BE" w:rsidRDefault="00A06E1C">
      <w:pPr>
        <w:numPr>
          <w:ilvl w:val="0"/>
          <w:numId w:val="11"/>
        </w:numPr>
        <w:spacing w:after="0"/>
      </w:pPr>
      <w:r>
        <w:t>Type of data encryption used:</w:t>
      </w:r>
    </w:p>
    <w:p w:rsidR="00C245BE" w:rsidRDefault="00A06E1C">
      <w:pPr>
        <w:numPr>
          <w:ilvl w:val="1"/>
          <w:numId w:val="11"/>
        </w:numPr>
        <w:spacing w:after="0"/>
      </w:pPr>
      <w:r>
        <w:t>Several strong encryption protocols and technologies are used to ensure the security and confidentiality of data. This includes the use of technologies such as Transport Layer Security/Secure Sock</w:t>
      </w:r>
      <w:r>
        <w:t xml:space="preserve">ets Layer (TLS/SSL) for secure data transmissions, Internet Protocol Security (IPSec) for secure internet communication and Advanced Encryption Standard (AES) for robust data encryption. These measures offer a high level of protection against unauthorized </w:t>
      </w:r>
      <w:r>
        <w:t xml:space="preserve">access and data leaks. For more information visit </w:t>
      </w:r>
      <w:hyperlink r:id="rId8">
        <w:r>
          <w:rPr>
            <w:color w:val="1155CC"/>
            <w:u w:val="single"/>
          </w:rPr>
          <w:t>https://learn.microsoft.com/de-de/purview/encryption</w:t>
        </w:r>
      </w:hyperlink>
      <w:r>
        <w:t>.</w:t>
      </w:r>
    </w:p>
    <w:p w:rsidR="00C245BE" w:rsidRDefault="00A06E1C">
      <w:pPr>
        <w:numPr>
          <w:ilvl w:val="0"/>
          <w:numId w:val="11"/>
        </w:numPr>
        <w:spacing w:after="0"/>
      </w:pPr>
      <w:r>
        <w:t>Systems and processes for monitoring and incident response:</w:t>
      </w:r>
    </w:p>
    <w:p w:rsidR="00C245BE" w:rsidRDefault="00A06E1C">
      <w:pPr>
        <w:numPr>
          <w:ilvl w:val="1"/>
          <w:numId w:val="11"/>
        </w:numPr>
      </w:pPr>
      <w:r>
        <w:t xml:space="preserve">Advanced monitoring </w:t>
      </w:r>
      <w:r>
        <w:t>systems and incident response processes are implemented to proactively monitor and respond to security incidents. These systems continuously monitor the IT infrastructure, detect anomalies and unusual activities and enable a rapid response to security inci</w:t>
      </w:r>
      <w:r>
        <w:t xml:space="preserve">dents. Detailed information can be found at </w:t>
      </w:r>
      <w:hyperlink r:id="rId9">
        <w:r>
          <w:rPr>
            <w:color w:val="1155CC"/>
            <w:u w:val="single"/>
          </w:rPr>
          <w:t>https://learn.microsoft.com/de-de/azure/security/fundamentals/infrastructure-monitoring</w:t>
        </w:r>
      </w:hyperlink>
      <w:r>
        <w:t>.</w:t>
      </w:r>
    </w:p>
    <w:p w:rsidR="00C245BE" w:rsidRDefault="00A06E1C">
      <w:r>
        <w:rPr>
          <w:b/>
        </w:rPr>
        <w:t>Organizational m</w:t>
      </w:r>
      <w:r>
        <w:rPr>
          <w:b/>
        </w:rPr>
        <w:t>easures:</w:t>
      </w:r>
    </w:p>
    <w:p w:rsidR="00C245BE" w:rsidRDefault="00A06E1C">
      <w:pPr>
        <w:numPr>
          <w:ilvl w:val="0"/>
          <w:numId w:val="6"/>
        </w:numPr>
        <w:spacing w:after="0"/>
      </w:pPr>
      <w:r>
        <w:t>Data center locations and their data protection standards:</w:t>
      </w:r>
    </w:p>
    <w:p w:rsidR="00C245BE" w:rsidRDefault="00A06E1C">
      <w:pPr>
        <w:numPr>
          <w:ilvl w:val="1"/>
          <w:numId w:val="6"/>
        </w:numPr>
        <w:spacing w:after="0"/>
      </w:pPr>
      <w:r>
        <w:t>The locations of the data centers are strategically chosen in Germany, specifically in Frankfurt, to comply with the strictest data protection standards and laws. This ensures that data is</w:t>
      </w:r>
      <w:r>
        <w:t xml:space="preserve"> stored and processed within the EU, which meets the requirements of the GDPR. Further details can be found at </w:t>
      </w:r>
      <w:hyperlink r:id="rId10" w:anchor="overview">
        <w:r>
          <w:rPr>
            <w:color w:val="1155CC"/>
            <w:u w:val="single"/>
          </w:rPr>
          <w:t>https://azure.microsoft.com/de-d</w:t>
        </w:r>
        <w:r>
          <w:rPr>
            <w:color w:val="1155CC"/>
            <w:u w:val="single"/>
          </w:rPr>
          <w:t>e/explore/global-infrastructure/data-residency/#overview</w:t>
        </w:r>
      </w:hyperlink>
      <w:r>
        <w:t>.</w:t>
      </w:r>
    </w:p>
    <w:p w:rsidR="00C245BE" w:rsidRDefault="00A06E1C">
      <w:pPr>
        <w:numPr>
          <w:ilvl w:val="0"/>
          <w:numId w:val="6"/>
        </w:numPr>
        <w:spacing w:after="0"/>
      </w:pPr>
      <w:r>
        <w:t>Type of contractual agreements with subcontractors regarding data protection:</w:t>
      </w:r>
    </w:p>
    <w:p w:rsidR="00C245BE" w:rsidRDefault="00A06E1C">
      <w:pPr>
        <w:numPr>
          <w:ilvl w:val="1"/>
          <w:numId w:val="6"/>
        </w:numPr>
      </w:pPr>
      <w:r>
        <w:t>Ensuring that all subcontractors adhere to strict data protection agreements that comply with GDPR regulations. This inc</w:t>
      </w:r>
      <w:r>
        <w:t xml:space="preserve">ludes contractual assurances of compliance with data protection standards, regular reviews and audits and the obligation to report data breaches immediately. You can find additional information at </w:t>
      </w:r>
      <w:hyperlink r:id="rId11">
        <w:r>
          <w:rPr>
            <w:color w:val="1155CC"/>
            <w:u w:val="single"/>
          </w:rPr>
          <w:t>https://learn.microsoft.com/de-de/compliance/regulatory/gdpr?view=o365-worldwide verfügbar</w:t>
        </w:r>
      </w:hyperlink>
      <w:r>
        <w:t>.</w:t>
      </w:r>
    </w:p>
    <w:p w:rsidR="00C245BE" w:rsidRDefault="00C245BE"/>
    <w:p w:rsidR="00C245BE" w:rsidRDefault="00C245BE"/>
    <w:p w:rsidR="00C245BE" w:rsidRDefault="00C245BE"/>
    <w:p w:rsidR="00C245BE" w:rsidRDefault="00C245BE">
      <w:pPr>
        <w:spacing w:after="0" w:line="240" w:lineRule="auto"/>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A06E1C">
      <w:pPr>
        <w:spacing w:after="0" w:line="240" w:lineRule="auto"/>
        <w:jc w:val="center"/>
        <w:rPr>
          <w:b/>
        </w:rPr>
      </w:pPr>
      <w:r>
        <w:rPr>
          <w:b/>
        </w:rPr>
        <w:t>Appendix 3</w:t>
      </w: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C245BE">
      <w:pPr>
        <w:spacing w:after="0" w:line="240" w:lineRule="auto"/>
        <w:jc w:val="center"/>
        <w:rPr>
          <w:b/>
        </w:rPr>
      </w:pPr>
    </w:p>
    <w:p w:rsidR="00C245BE" w:rsidRDefault="00A06E1C">
      <w:pPr>
        <w:spacing w:after="0" w:line="240" w:lineRule="auto"/>
        <w:jc w:val="center"/>
        <w:rPr>
          <w:b/>
        </w:rPr>
      </w:pPr>
      <w:r>
        <w:rPr>
          <w:b/>
        </w:rPr>
        <w:t>Data Protection Officer</w:t>
      </w:r>
    </w:p>
    <w:p w:rsidR="00C245BE" w:rsidRDefault="00C245BE">
      <w:pPr>
        <w:spacing w:after="0" w:line="240" w:lineRule="auto"/>
        <w:jc w:val="center"/>
        <w:rPr>
          <w:b/>
        </w:rPr>
      </w:pPr>
    </w:p>
    <w:p w:rsidR="00C245BE" w:rsidRDefault="00A06E1C">
      <w:pPr>
        <w:spacing w:after="0" w:line="240" w:lineRule="auto"/>
        <w:jc w:val="center"/>
      </w:pPr>
      <w:r>
        <w:t>Dominik Adamowski</w:t>
      </w:r>
    </w:p>
    <w:p w:rsidR="00C245BE" w:rsidRDefault="00A06E1C">
      <w:pPr>
        <w:spacing w:after="0" w:line="240" w:lineRule="auto"/>
        <w:jc w:val="center"/>
      </w:pPr>
      <w:r>
        <w:t>Brunsbütteler Damm 356</w:t>
      </w:r>
    </w:p>
    <w:p w:rsidR="00C245BE" w:rsidRDefault="00A06E1C">
      <w:pPr>
        <w:spacing w:after="0" w:line="240" w:lineRule="auto"/>
        <w:jc w:val="center"/>
      </w:pPr>
      <w:r>
        <w:t>13591 Berlin</w:t>
      </w:r>
    </w:p>
    <w:p w:rsidR="00C245BE" w:rsidRDefault="00A06E1C">
      <w:pPr>
        <w:spacing w:after="0" w:line="240" w:lineRule="auto"/>
        <w:jc w:val="center"/>
      </w:pPr>
      <w:r>
        <w:t>Phone: +49 176 4733 8214</w:t>
      </w:r>
    </w:p>
    <w:p w:rsidR="00C245BE" w:rsidRDefault="00A06E1C">
      <w:pPr>
        <w:spacing w:after="0" w:line="240" w:lineRule="auto"/>
        <w:jc w:val="center"/>
      </w:pPr>
      <w:hyperlink r:id="rId12">
        <w:r>
          <w:rPr>
            <w:color w:val="1155CC"/>
            <w:u w:val="single"/>
          </w:rPr>
          <w:t>dominik@getelara.de</w:t>
        </w:r>
      </w:hyperlink>
    </w:p>
    <w:p w:rsidR="00C245BE" w:rsidRDefault="00C245BE">
      <w:pPr>
        <w:spacing w:after="0" w:line="240" w:lineRule="auto"/>
        <w:jc w:val="center"/>
        <w:rPr>
          <w:b/>
        </w:rPr>
      </w:pPr>
    </w:p>
    <w:p w:rsidR="00C245BE" w:rsidRDefault="00C245BE">
      <w:pPr>
        <w:spacing w:after="0" w:line="240" w:lineRule="auto"/>
        <w:rPr>
          <w:rFonts w:ascii="Open Sans" w:eastAsia="Open Sans" w:hAnsi="Open Sans" w:cs="Open Sans"/>
          <w:sz w:val="20"/>
          <w:szCs w:val="20"/>
        </w:rPr>
      </w:pPr>
    </w:p>
    <w:sectPr w:rsidR="00C245BE">
      <w:headerReference w:type="default" r:id="rId13"/>
      <w:footerReference w:type="default" r:id="rId14"/>
      <w:pgSz w:w="11906" w:h="16838"/>
      <w:pgMar w:top="1418" w:right="1418" w:bottom="85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E1C" w:rsidRDefault="00A06E1C">
      <w:pPr>
        <w:spacing w:after="0" w:line="240" w:lineRule="auto"/>
      </w:pPr>
      <w:r>
        <w:separator/>
      </w:r>
    </w:p>
  </w:endnote>
  <w:endnote w:type="continuationSeparator" w:id="0">
    <w:p w:rsidR="00A06E1C" w:rsidRDefault="00A0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Montserrat">
    <w:panose1 w:val="02000505000000020004"/>
    <w:charset w:val="00"/>
    <w:family w:val="auto"/>
    <w:pitch w:val="variable"/>
    <w:sig w:usb0="8000002F" w:usb1="4000204A" w:usb2="00000000" w:usb3="00000000" w:csb0="00000001" w:csb1="00000000"/>
  </w:font>
  <w:font w:name="Open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5BE" w:rsidRDefault="00C245BE">
    <w:pPr>
      <w:pBdr>
        <w:top w:val="nil"/>
        <w:left w:val="nil"/>
        <w:bottom w:val="nil"/>
        <w:right w:val="nil"/>
        <w:between w:val="nil"/>
      </w:pBdr>
      <w:tabs>
        <w:tab w:val="center" w:pos="4536"/>
        <w:tab w:val="right" w:pos="9072"/>
      </w:tabs>
      <w:spacing w:after="0" w:line="240" w:lineRule="auto"/>
      <w:jc w:val="right"/>
      <w:rPr>
        <w:rFonts w:ascii="Arial" w:eastAsia="Arial" w:hAnsi="Arial" w:cs="Arial"/>
        <w:color w:val="000000"/>
      </w:rPr>
    </w:pPr>
  </w:p>
  <w:p w:rsidR="00C245BE" w:rsidRDefault="00A06E1C">
    <w:pPr>
      <w:pBdr>
        <w:top w:val="nil"/>
        <w:left w:val="nil"/>
        <w:bottom w:val="nil"/>
        <w:right w:val="nil"/>
        <w:between w:val="nil"/>
      </w:pBdr>
      <w:tabs>
        <w:tab w:val="center" w:pos="4536"/>
        <w:tab w:val="right" w:pos="9072"/>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4327B5">
      <w:rPr>
        <w:rFonts w:ascii="Arial" w:eastAsia="Arial" w:hAnsi="Arial" w:cs="Arial"/>
        <w:color w:val="000000"/>
      </w:rPr>
      <w:fldChar w:fldCharType="separate"/>
    </w:r>
    <w:r w:rsidR="004327B5">
      <w:rPr>
        <w:rFonts w:ascii="Arial" w:eastAsia="Arial" w:hAnsi="Arial" w:cs="Arial"/>
        <w:noProof/>
        <w:color w:val="000000"/>
      </w:rPr>
      <w:t>15</w:t>
    </w:r>
    <w:r>
      <w:rPr>
        <w:rFonts w:ascii="Arial" w:eastAsia="Arial" w:hAnsi="Arial" w:cs="Arial"/>
        <w:color w:val="000000"/>
      </w:rPr>
      <w:fldChar w:fldCharType="end"/>
    </w:r>
  </w:p>
  <w:p w:rsidR="00C245BE" w:rsidRDefault="00A06E1C">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808080"/>
        <w:sz w:val="18"/>
        <w:szCs w:val="18"/>
      </w:rPr>
    </w:pPr>
    <w:r>
      <w:rPr>
        <w:noProof/>
        <w:lang w:val="en-IN"/>
      </w:rPr>
      <w:drawing>
        <wp:anchor distT="0" distB="0" distL="0" distR="0" simplePos="0" relativeHeight="251658240" behindDoc="0" locked="0" layoutInCell="1" hidden="0" allowOverlap="1">
          <wp:simplePos x="0" y="0"/>
          <wp:positionH relativeFrom="column">
            <wp:posOffset>-1011391</wp:posOffset>
          </wp:positionH>
          <wp:positionV relativeFrom="paragraph">
            <wp:posOffset>361950</wp:posOffset>
          </wp:positionV>
          <wp:extent cx="7781925" cy="219075"/>
          <wp:effectExtent l="0" t="0" r="0" b="0"/>
          <wp:wrapNone/>
          <wp:docPr id="1" name="image1.png" descr="footer"/>
          <wp:cNvGraphicFramePr/>
          <a:graphic xmlns:a="http://schemas.openxmlformats.org/drawingml/2006/main">
            <a:graphicData uri="http://schemas.openxmlformats.org/drawingml/2006/picture">
              <pic:pic xmlns:pic="http://schemas.openxmlformats.org/drawingml/2006/picture">
                <pic:nvPicPr>
                  <pic:cNvPr id="0" name="image1.png" descr="footer"/>
                  <pic:cNvPicPr preferRelativeResize="0"/>
                </pic:nvPicPr>
                <pic:blipFill>
                  <a:blip r:embed="rId1"/>
                  <a:srcRect t="43247" b="43247"/>
                  <a:stretch>
                    <a:fillRect/>
                  </a:stretch>
                </pic:blipFill>
                <pic:spPr>
                  <a:xfrm>
                    <a:off x="0" y="0"/>
                    <a:ext cx="7781925" cy="2190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E1C" w:rsidRDefault="00A06E1C">
      <w:pPr>
        <w:spacing w:after="0" w:line="240" w:lineRule="auto"/>
      </w:pPr>
      <w:r>
        <w:separator/>
      </w:r>
    </w:p>
  </w:footnote>
  <w:footnote w:type="continuationSeparator" w:id="0">
    <w:p w:rsidR="00A06E1C" w:rsidRDefault="00A0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5BE" w:rsidRDefault="00C245BE">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rPr>
    </w:pPr>
  </w:p>
  <w:p w:rsidR="00C245BE" w:rsidRDefault="00C245BE">
    <w:pPr>
      <w:pBdr>
        <w:top w:val="nil"/>
        <w:left w:val="nil"/>
        <w:bottom w:val="nil"/>
        <w:right w:val="nil"/>
        <w:between w:val="nil"/>
      </w:pBdr>
      <w:tabs>
        <w:tab w:val="center" w:pos="4536"/>
        <w:tab w:val="right" w:pos="9072"/>
      </w:tabs>
      <w:spacing w:after="0" w:line="240" w:lineRule="auto"/>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089"/>
    <w:multiLevelType w:val="multilevel"/>
    <w:tmpl w:val="DAA0BD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E43795"/>
    <w:multiLevelType w:val="multilevel"/>
    <w:tmpl w:val="F6B06EA4"/>
    <w:lvl w:ilvl="0">
      <w:start w:val="8"/>
      <w:numFmt w:val="decimal"/>
      <w:lvlText w:val="%1"/>
      <w:lvlJc w:val="left"/>
      <w:pPr>
        <w:ind w:left="360" w:hanging="360"/>
      </w:pPr>
    </w:lvl>
    <w:lvl w:ilvl="1">
      <w:start w:val="1"/>
      <w:numFmt w:val="decimal"/>
      <w:lvlText w:val="8.%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1F91409C"/>
    <w:multiLevelType w:val="multilevel"/>
    <w:tmpl w:val="CFC2F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E014BA"/>
    <w:multiLevelType w:val="multilevel"/>
    <w:tmpl w:val="D1E01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1C3F02"/>
    <w:multiLevelType w:val="multilevel"/>
    <w:tmpl w:val="D13A5888"/>
    <w:lvl w:ilvl="0">
      <w:start w:val="8"/>
      <w:numFmt w:val="decimal"/>
      <w:lvlText w:val="%1"/>
      <w:lvlJc w:val="left"/>
      <w:pPr>
        <w:ind w:left="360" w:hanging="360"/>
      </w:pPr>
    </w:lvl>
    <w:lvl w:ilvl="1">
      <w:start w:val="1"/>
      <w:numFmt w:val="decimal"/>
      <w:lvlText w:val="12.%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3A5626C0"/>
    <w:multiLevelType w:val="multilevel"/>
    <w:tmpl w:val="BC14B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2B01FE"/>
    <w:multiLevelType w:val="multilevel"/>
    <w:tmpl w:val="1C3460F2"/>
    <w:lvl w:ilvl="0">
      <w:start w:val="7"/>
      <w:numFmt w:val="decimal"/>
      <w:lvlText w:val="%1"/>
      <w:lvlJc w:val="left"/>
      <w:pPr>
        <w:ind w:left="360" w:hanging="360"/>
      </w:pPr>
    </w:lvl>
    <w:lvl w:ilvl="1">
      <w:start w:val="1"/>
      <w:numFmt w:val="decimal"/>
      <w:lvlText w:val="6.%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9"/>
      </w:pPr>
    </w:lvl>
  </w:abstractNum>
  <w:abstractNum w:abstractNumId="7" w15:restartNumberingAfterBreak="0">
    <w:nsid w:val="45E9503B"/>
    <w:multiLevelType w:val="multilevel"/>
    <w:tmpl w:val="3C1EDC12"/>
    <w:lvl w:ilvl="0">
      <w:start w:val="1"/>
      <w:numFmt w:val="bullet"/>
      <w:lvlText w:val="•"/>
      <w:lvlJc w:val="left"/>
      <w:pPr>
        <w:ind w:left="1065" w:hanging="705"/>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770BDE"/>
    <w:multiLevelType w:val="multilevel"/>
    <w:tmpl w:val="0820F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8A7EB2"/>
    <w:multiLevelType w:val="multilevel"/>
    <w:tmpl w:val="A03482D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B21099"/>
    <w:multiLevelType w:val="multilevel"/>
    <w:tmpl w:val="E1761C2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3440EDD"/>
    <w:multiLevelType w:val="multilevel"/>
    <w:tmpl w:val="B4583C38"/>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9"/>
      </w:pPr>
    </w:lvl>
  </w:abstractNum>
  <w:abstractNum w:abstractNumId="12" w15:restartNumberingAfterBreak="0">
    <w:nsid w:val="53BB0086"/>
    <w:multiLevelType w:val="multilevel"/>
    <w:tmpl w:val="77CE8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211247"/>
    <w:multiLevelType w:val="multilevel"/>
    <w:tmpl w:val="D25CA77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9137D1A"/>
    <w:multiLevelType w:val="multilevel"/>
    <w:tmpl w:val="45BEF9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945CFD"/>
    <w:multiLevelType w:val="multilevel"/>
    <w:tmpl w:val="24B6C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EE716E"/>
    <w:multiLevelType w:val="multilevel"/>
    <w:tmpl w:val="C846A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1153A01"/>
    <w:multiLevelType w:val="multilevel"/>
    <w:tmpl w:val="09F09F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AB2299"/>
    <w:multiLevelType w:val="multilevel"/>
    <w:tmpl w:val="18B0693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8E85273"/>
    <w:multiLevelType w:val="multilevel"/>
    <w:tmpl w:val="988E1EEA"/>
    <w:lvl w:ilvl="0">
      <w:start w:val="1"/>
      <w:numFmt w:val="bullet"/>
      <w:lvlText w:val="-"/>
      <w:lvlJc w:val="left"/>
      <w:pPr>
        <w:ind w:left="252" w:hanging="360"/>
      </w:pPr>
      <w:rPr>
        <w:rFonts w:ascii="Calibri" w:eastAsia="Calibri" w:hAnsi="Calibri" w:cs="Calibri"/>
      </w:rPr>
    </w:lvl>
    <w:lvl w:ilvl="1">
      <w:start w:val="1"/>
      <w:numFmt w:val="bullet"/>
      <w:lvlText w:val="o"/>
      <w:lvlJc w:val="left"/>
      <w:pPr>
        <w:ind w:left="972" w:hanging="360"/>
      </w:pPr>
      <w:rPr>
        <w:rFonts w:ascii="Courier New" w:eastAsia="Courier New" w:hAnsi="Courier New" w:cs="Courier New"/>
      </w:rPr>
    </w:lvl>
    <w:lvl w:ilvl="2">
      <w:start w:val="1"/>
      <w:numFmt w:val="bullet"/>
      <w:lvlText w:val="▪"/>
      <w:lvlJc w:val="left"/>
      <w:pPr>
        <w:ind w:left="1692" w:hanging="360"/>
      </w:pPr>
      <w:rPr>
        <w:rFonts w:ascii="Noto Sans Symbols" w:eastAsia="Noto Sans Symbols" w:hAnsi="Noto Sans Symbols" w:cs="Noto Sans Symbols"/>
      </w:rPr>
    </w:lvl>
    <w:lvl w:ilvl="3">
      <w:start w:val="1"/>
      <w:numFmt w:val="bullet"/>
      <w:lvlText w:val="●"/>
      <w:lvlJc w:val="left"/>
      <w:pPr>
        <w:ind w:left="2412" w:hanging="360"/>
      </w:pPr>
      <w:rPr>
        <w:rFonts w:ascii="Noto Sans Symbols" w:eastAsia="Noto Sans Symbols" w:hAnsi="Noto Sans Symbols" w:cs="Noto Sans Symbols"/>
      </w:rPr>
    </w:lvl>
    <w:lvl w:ilvl="4">
      <w:start w:val="1"/>
      <w:numFmt w:val="bullet"/>
      <w:lvlText w:val="o"/>
      <w:lvlJc w:val="left"/>
      <w:pPr>
        <w:ind w:left="3132" w:hanging="360"/>
      </w:pPr>
      <w:rPr>
        <w:rFonts w:ascii="Courier New" w:eastAsia="Courier New" w:hAnsi="Courier New" w:cs="Courier New"/>
      </w:rPr>
    </w:lvl>
    <w:lvl w:ilvl="5">
      <w:start w:val="1"/>
      <w:numFmt w:val="bullet"/>
      <w:lvlText w:val="▪"/>
      <w:lvlJc w:val="left"/>
      <w:pPr>
        <w:ind w:left="3852" w:hanging="360"/>
      </w:pPr>
      <w:rPr>
        <w:rFonts w:ascii="Noto Sans Symbols" w:eastAsia="Noto Sans Symbols" w:hAnsi="Noto Sans Symbols" w:cs="Noto Sans Symbols"/>
      </w:rPr>
    </w:lvl>
    <w:lvl w:ilvl="6">
      <w:start w:val="1"/>
      <w:numFmt w:val="bullet"/>
      <w:lvlText w:val="●"/>
      <w:lvlJc w:val="left"/>
      <w:pPr>
        <w:ind w:left="4572" w:hanging="360"/>
      </w:pPr>
      <w:rPr>
        <w:rFonts w:ascii="Noto Sans Symbols" w:eastAsia="Noto Sans Symbols" w:hAnsi="Noto Sans Symbols" w:cs="Noto Sans Symbols"/>
      </w:rPr>
    </w:lvl>
    <w:lvl w:ilvl="7">
      <w:start w:val="1"/>
      <w:numFmt w:val="bullet"/>
      <w:lvlText w:val="o"/>
      <w:lvlJc w:val="left"/>
      <w:pPr>
        <w:ind w:left="5292" w:hanging="360"/>
      </w:pPr>
      <w:rPr>
        <w:rFonts w:ascii="Courier New" w:eastAsia="Courier New" w:hAnsi="Courier New" w:cs="Courier New"/>
      </w:rPr>
    </w:lvl>
    <w:lvl w:ilvl="8">
      <w:start w:val="1"/>
      <w:numFmt w:val="bullet"/>
      <w:lvlText w:val="▪"/>
      <w:lvlJc w:val="left"/>
      <w:pPr>
        <w:ind w:left="6012" w:hanging="360"/>
      </w:pPr>
      <w:rPr>
        <w:rFonts w:ascii="Noto Sans Symbols" w:eastAsia="Noto Sans Symbols" w:hAnsi="Noto Sans Symbols" w:cs="Noto Sans Symbols"/>
      </w:rPr>
    </w:lvl>
  </w:abstractNum>
  <w:abstractNum w:abstractNumId="20" w15:restartNumberingAfterBreak="0">
    <w:nsid w:val="74820201"/>
    <w:multiLevelType w:val="multilevel"/>
    <w:tmpl w:val="10225D32"/>
    <w:lvl w:ilvl="0">
      <w:start w:val="8"/>
      <w:numFmt w:val="decimal"/>
      <w:lvlText w:val="%1"/>
      <w:lvlJc w:val="left"/>
      <w:pPr>
        <w:ind w:left="360" w:hanging="360"/>
      </w:pPr>
    </w:lvl>
    <w:lvl w:ilvl="1">
      <w:start w:val="1"/>
      <w:numFmt w:val="decimal"/>
      <w:lvlText w:val="7.%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6"/>
  </w:num>
  <w:num w:numId="2">
    <w:abstractNumId w:val="19"/>
  </w:num>
  <w:num w:numId="3">
    <w:abstractNumId w:val="4"/>
  </w:num>
  <w:num w:numId="4">
    <w:abstractNumId w:val="18"/>
  </w:num>
  <w:num w:numId="5">
    <w:abstractNumId w:val="17"/>
  </w:num>
  <w:num w:numId="6">
    <w:abstractNumId w:val="3"/>
  </w:num>
  <w:num w:numId="7">
    <w:abstractNumId w:val="10"/>
  </w:num>
  <w:num w:numId="8">
    <w:abstractNumId w:val="11"/>
  </w:num>
  <w:num w:numId="9">
    <w:abstractNumId w:val="13"/>
  </w:num>
  <w:num w:numId="10">
    <w:abstractNumId w:val="8"/>
  </w:num>
  <w:num w:numId="11">
    <w:abstractNumId w:val="5"/>
  </w:num>
  <w:num w:numId="12">
    <w:abstractNumId w:val="6"/>
  </w:num>
  <w:num w:numId="13">
    <w:abstractNumId w:val="9"/>
  </w:num>
  <w:num w:numId="14">
    <w:abstractNumId w:val="1"/>
  </w:num>
  <w:num w:numId="15">
    <w:abstractNumId w:val="0"/>
  </w:num>
  <w:num w:numId="16">
    <w:abstractNumId w:val="12"/>
  </w:num>
  <w:num w:numId="17">
    <w:abstractNumId w:val="20"/>
  </w:num>
  <w:num w:numId="18">
    <w:abstractNumId w:val="15"/>
  </w:num>
  <w:num w:numId="19">
    <w:abstractNumId w:val="14"/>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5BE"/>
    <w:rsid w:val="004327B5"/>
    <w:rsid w:val="00A06E1C"/>
    <w:rsid w:val="00C245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40062-A953-414C-92DC-189CC64E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after="0" w:line="240" w:lineRule="auto"/>
      <w:ind w:left="360" w:hanging="360"/>
      <w:outlineLvl w:val="0"/>
    </w:pPr>
    <w:rPr>
      <w:rFonts w:ascii="Arial" w:eastAsia="Arial" w:hAnsi="Arial" w:cs="Arial"/>
      <w:b/>
    </w:rPr>
  </w:style>
  <w:style w:type="paragraph" w:styleId="Heading2">
    <w:name w:val="heading 2"/>
    <w:basedOn w:val="Normal"/>
    <w:next w:val="Normal"/>
    <w:pPr>
      <w:keepNext/>
      <w:keepLines/>
      <w:spacing w:before="200" w:after="0" w:line="240" w:lineRule="auto"/>
      <w:ind w:left="720" w:hanging="360"/>
      <w:outlineLvl w:val="1"/>
    </w:pPr>
    <w:rPr>
      <w:rFonts w:ascii="Arial" w:eastAsia="Arial" w:hAnsi="Arial" w:cs="Arial"/>
      <w:b/>
    </w:rPr>
  </w:style>
  <w:style w:type="paragraph" w:styleId="Heading3">
    <w:name w:val="heading 3"/>
    <w:basedOn w:val="Normal"/>
    <w:next w:val="Normal"/>
    <w:pPr>
      <w:widowControl w:val="0"/>
      <w:spacing w:after="0" w:line="240" w:lineRule="auto"/>
      <w:ind w:left="1440" w:hanging="720"/>
      <w:outlineLvl w:val="2"/>
    </w:pPr>
    <w:rPr>
      <w:rFonts w:ascii="Arial" w:eastAsia="Arial" w:hAnsi="Arial" w:cs="Arial"/>
    </w:rPr>
  </w:style>
  <w:style w:type="paragraph" w:styleId="Heading4">
    <w:name w:val="heading 4"/>
    <w:basedOn w:val="Normal"/>
    <w:next w:val="Normal"/>
    <w:pPr>
      <w:spacing w:after="0" w:line="240" w:lineRule="auto"/>
      <w:ind w:left="1800" w:hanging="720"/>
      <w:outlineLvl w:val="3"/>
    </w:pPr>
    <w:rPr>
      <w:rFonts w:ascii="Arial" w:eastAsia="Arial" w:hAnsi="Arial" w:cs="Arial"/>
    </w:rPr>
  </w:style>
  <w:style w:type="paragraph" w:styleId="Heading5">
    <w:name w:val="heading 5"/>
    <w:basedOn w:val="Normal"/>
    <w:next w:val="Normal"/>
    <w:pPr>
      <w:spacing w:after="0" w:line="240" w:lineRule="auto"/>
      <w:ind w:left="2520" w:hanging="1080"/>
      <w:outlineLvl w:val="4"/>
    </w:pPr>
    <w:rPr>
      <w:rFonts w:ascii="Arial" w:eastAsia="Arial" w:hAnsi="Arial" w:cs="Arial"/>
    </w:rPr>
  </w:style>
  <w:style w:type="paragraph" w:styleId="Heading6">
    <w:name w:val="heading 6"/>
    <w:basedOn w:val="Normal"/>
    <w:next w:val="Normal"/>
    <w:pPr>
      <w:spacing w:after="0" w:line="240" w:lineRule="auto"/>
      <w:ind w:left="2880" w:hanging="1080"/>
      <w:outlineLvl w:val="5"/>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rFonts w:ascii="Arial" w:eastAsia="Arial" w:hAnsi="Arial" w:cs="Arial"/>
      <w:b/>
      <w:smallCaps/>
      <w:sz w:val="24"/>
      <w:szCs w:val="24"/>
    </w:rPr>
  </w:style>
  <w:style w:type="paragraph" w:styleId="Subtitle">
    <w:name w:val="Subtitle"/>
    <w:basedOn w:val="Normal"/>
    <w:next w:val="Normal"/>
    <w:pPr>
      <w:pBdr>
        <w:top w:val="nil"/>
        <w:left w:val="nil"/>
        <w:bottom w:val="nil"/>
        <w:right w:val="nil"/>
        <w:between w:val="nil"/>
      </w:pBdr>
      <w:spacing w:line="240" w:lineRule="auto"/>
    </w:pPr>
    <w:rPr>
      <w:rFonts w:ascii="Arial" w:eastAsia="Arial" w:hAnsi="Arial" w:cs="Arial"/>
      <w:color w:val="5A5A5A"/>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table" w:customStyle="1" w:styleId="ad">
    <w:basedOn w:val="TableNormal"/>
    <w:pPr>
      <w:spacing w:after="0" w:line="240" w:lineRule="auto"/>
    </w:pPr>
    <w:rPr>
      <w:sz w:val="20"/>
      <w:szCs w:val="20"/>
    </w:rPr>
    <w:tblPr>
      <w:tblStyleRowBandSize w:val="1"/>
      <w:tblStyleColBandSize w:val="1"/>
    </w:tblPr>
  </w:style>
  <w:style w:type="table" w:customStyle="1" w:styleId="ae">
    <w:basedOn w:val="TableNormal"/>
    <w:pPr>
      <w:spacing w:after="0" w:line="240" w:lineRule="auto"/>
    </w:pPr>
    <w:rPr>
      <w:sz w:val="20"/>
      <w:szCs w:val="20"/>
    </w:rPr>
    <w:tblPr>
      <w:tblStyleRowBandSize w:val="1"/>
      <w:tblStyleColBandSize w:val="1"/>
    </w:tblPr>
  </w:style>
  <w:style w:type="table" w:customStyle="1" w:styleId="af">
    <w:basedOn w:val="TableNormal"/>
    <w:pPr>
      <w:spacing w:after="0" w:line="240" w:lineRule="auto"/>
    </w:pPr>
    <w:rPr>
      <w:sz w:val="20"/>
      <w:szCs w:val="20"/>
    </w:rPr>
    <w:tblPr>
      <w:tblStyleRowBandSize w:val="1"/>
      <w:tblStyleColBandSize w:val="1"/>
    </w:tblPr>
  </w:style>
  <w:style w:type="table" w:customStyle="1" w:styleId="af0">
    <w:basedOn w:val="TableNormal"/>
    <w:pPr>
      <w:spacing w:after="0" w:line="240" w:lineRule="auto"/>
    </w:pPr>
    <w:rPr>
      <w:sz w:val="20"/>
      <w:szCs w:val="20"/>
    </w:rPr>
    <w:tblPr>
      <w:tblStyleRowBandSize w:val="1"/>
      <w:tblStyleColBandSize w:val="1"/>
    </w:tblPr>
  </w:style>
  <w:style w:type="table" w:customStyle="1" w:styleId="af1">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earn.microsoft.com/de-de/purview/encryp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microsoft.com/de-de/compliance/regulatory/offering-eu-model-clauses" TargetMode="External"/><Relationship Id="rId12" Type="http://schemas.openxmlformats.org/officeDocument/2006/relationships/hyperlink" Target="mailto:dominik@getelar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microsoft.com/de-de/compliance/regulatory/gdpr?view=o365-worldwi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zure.microsoft.com/de-de/explore/global-infrastructure/data-residency/" TargetMode="External"/><Relationship Id="rId4" Type="http://schemas.openxmlformats.org/officeDocument/2006/relationships/webSettings" Target="webSettings.xml"/><Relationship Id="rId9" Type="http://schemas.openxmlformats.org/officeDocument/2006/relationships/hyperlink" Target="https://learn.microsoft.com/de-de/azure/security/fundamentals/infrastructure-monitorin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4696</Words>
  <Characters>26768</Characters>
  <Application>Microsoft Office Word</Application>
  <DocSecurity>0</DocSecurity>
  <Lines>223</Lines>
  <Paragraphs>62</Paragraphs>
  <ScaleCrop>false</ScaleCrop>
  <Company>HP</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Dhruvil Soni</cp:lastModifiedBy>
  <cp:revision>2</cp:revision>
  <dcterms:created xsi:type="dcterms:W3CDTF">2024-09-17T19:42:00Z</dcterms:created>
  <dcterms:modified xsi:type="dcterms:W3CDTF">2024-09-17T19:43:00Z</dcterms:modified>
</cp:coreProperties>
</file>